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8C" w:rsidRDefault="0062688C" w:rsidP="00F113F3">
      <w:pPr>
        <w:rPr>
          <w:lang w:val="ru-RU"/>
        </w:rPr>
      </w:pPr>
      <w:r w:rsidRPr="00F15F35">
        <w:t>УДК 336.71</w:t>
      </w:r>
    </w:p>
    <w:p w:rsidR="002747C6" w:rsidRPr="002747C6" w:rsidRDefault="002747C6" w:rsidP="00F113F3">
      <w:pPr>
        <w:rPr>
          <w:lang w:val="ru-RU"/>
        </w:rPr>
      </w:pPr>
    </w:p>
    <w:p w:rsidR="0062688C" w:rsidRPr="00F15F35" w:rsidRDefault="0062688C" w:rsidP="00F113F3">
      <w:pPr>
        <w:ind w:firstLine="709"/>
        <w:jc w:val="right"/>
        <w:rPr>
          <w:b/>
        </w:rPr>
      </w:pPr>
      <w:proofErr w:type="spellStart"/>
      <w:r w:rsidRPr="00F15F35">
        <w:rPr>
          <w:b/>
        </w:rPr>
        <w:t>Ільчук</w:t>
      </w:r>
      <w:proofErr w:type="spellEnd"/>
      <w:r w:rsidRPr="00F15F35">
        <w:rPr>
          <w:b/>
        </w:rPr>
        <w:t xml:space="preserve"> П.Г.</w:t>
      </w:r>
    </w:p>
    <w:p w:rsidR="0062688C" w:rsidRPr="002747C6" w:rsidRDefault="0062688C" w:rsidP="00F113F3">
      <w:pPr>
        <w:ind w:firstLine="709"/>
        <w:jc w:val="right"/>
        <w:rPr>
          <w:i/>
        </w:rPr>
      </w:pPr>
      <w:r w:rsidRPr="002747C6">
        <w:rPr>
          <w:i/>
        </w:rPr>
        <w:t>док</w:t>
      </w:r>
      <w:r w:rsidR="00F113F3" w:rsidRPr="002747C6">
        <w:rPr>
          <w:i/>
        </w:rPr>
        <w:t>тор економічних наук, професор,</w:t>
      </w:r>
    </w:p>
    <w:p w:rsidR="0062688C" w:rsidRPr="002747C6" w:rsidRDefault="0062688C" w:rsidP="00F113F3">
      <w:pPr>
        <w:ind w:firstLine="709"/>
        <w:jc w:val="right"/>
        <w:rPr>
          <w:i/>
        </w:rPr>
      </w:pPr>
      <w:r w:rsidRPr="002747C6">
        <w:rPr>
          <w:i/>
        </w:rPr>
        <w:t>завідувач кафедри технологій управління</w:t>
      </w:r>
    </w:p>
    <w:p w:rsidR="0062688C" w:rsidRPr="002747C6" w:rsidRDefault="0062688C" w:rsidP="00F113F3">
      <w:pPr>
        <w:ind w:firstLine="709"/>
        <w:jc w:val="right"/>
        <w:rPr>
          <w:i/>
        </w:rPr>
      </w:pPr>
      <w:r w:rsidRPr="002747C6">
        <w:rPr>
          <w:i/>
        </w:rPr>
        <w:t>Національного університету «Львівська політехніка»</w:t>
      </w:r>
    </w:p>
    <w:p w:rsidR="0062688C" w:rsidRPr="00F15F35" w:rsidRDefault="0062688C" w:rsidP="00F113F3">
      <w:pPr>
        <w:ind w:firstLine="709"/>
        <w:jc w:val="right"/>
        <w:rPr>
          <w:b/>
        </w:rPr>
      </w:pPr>
      <w:r w:rsidRPr="00F15F35">
        <w:rPr>
          <w:b/>
        </w:rPr>
        <w:t>Коць О.О.</w:t>
      </w:r>
    </w:p>
    <w:p w:rsidR="0062688C" w:rsidRPr="00F15F35" w:rsidRDefault="0062688C" w:rsidP="00F113F3">
      <w:pPr>
        <w:ind w:firstLine="709"/>
        <w:jc w:val="right"/>
      </w:pPr>
      <w:r w:rsidRPr="00F15F35">
        <w:t>кан</w:t>
      </w:r>
      <w:r w:rsidR="00F113F3" w:rsidRPr="00F15F35">
        <w:t>дидат економічних наук, доцент,</w:t>
      </w:r>
    </w:p>
    <w:p w:rsidR="0062688C" w:rsidRPr="00F15F35" w:rsidRDefault="0062688C" w:rsidP="00F113F3">
      <w:pPr>
        <w:ind w:firstLine="709"/>
        <w:jc w:val="right"/>
      </w:pPr>
      <w:r w:rsidRPr="00F15F35">
        <w:t>доцент кафедри фінансів</w:t>
      </w:r>
    </w:p>
    <w:p w:rsidR="0062688C" w:rsidRPr="00F15F35" w:rsidRDefault="0062688C" w:rsidP="00F113F3">
      <w:pPr>
        <w:ind w:firstLine="709"/>
        <w:jc w:val="right"/>
      </w:pPr>
      <w:r w:rsidRPr="00F15F35">
        <w:t>Національного університету «Львівська політехніка»</w:t>
      </w:r>
    </w:p>
    <w:p w:rsidR="0062688C" w:rsidRPr="00F15F35" w:rsidRDefault="0062688C" w:rsidP="00F113F3">
      <w:pPr>
        <w:ind w:firstLine="709"/>
        <w:jc w:val="right"/>
        <w:rPr>
          <w:b/>
        </w:rPr>
      </w:pPr>
      <w:proofErr w:type="spellStart"/>
      <w:r w:rsidRPr="00F15F35">
        <w:rPr>
          <w:b/>
        </w:rPr>
        <w:t>Кузик</w:t>
      </w:r>
      <w:proofErr w:type="spellEnd"/>
      <w:r w:rsidRPr="00F15F35">
        <w:rPr>
          <w:b/>
        </w:rPr>
        <w:t xml:space="preserve"> Н.В.</w:t>
      </w:r>
    </w:p>
    <w:p w:rsidR="0062688C" w:rsidRPr="002747C6" w:rsidRDefault="00F113F3" w:rsidP="00F113F3">
      <w:pPr>
        <w:ind w:firstLine="709"/>
        <w:jc w:val="right"/>
        <w:rPr>
          <w:i/>
        </w:rPr>
      </w:pPr>
      <w:r w:rsidRPr="002747C6">
        <w:rPr>
          <w:i/>
        </w:rPr>
        <w:t>студентка</w:t>
      </w:r>
    </w:p>
    <w:p w:rsidR="0062688C" w:rsidRPr="002747C6" w:rsidRDefault="0062688C" w:rsidP="00F113F3">
      <w:pPr>
        <w:ind w:firstLine="709"/>
        <w:jc w:val="right"/>
        <w:rPr>
          <w:i/>
        </w:rPr>
      </w:pPr>
      <w:r w:rsidRPr="002747C6">
        <w:rPr>
          <w:i/>
        </w:rPr>
        <w:t>Національного університету «Львівська політехніка»</w:t>
      </w:r>
    </w:p>
    <w:p w:rsidR="0062688C" w:rsidRPr="002747C6" w:rsidRDefault="0062688C" w:rsidP="00F113F3">
      <w:pPr>
        <w:ind w:firstLine="709"/>
        <w:jc w:val="center"/>
        <w:rPr>
          <w:rFonts w:cs="Times New Roman"/>
          <w:b/>
          <w:i/>
        </w:rPr>
      </w:pPr>
    </w:p>
    <w:p w:rsidR="0062688C" w:rsidRPr="00F15F35" w:rsidRDefault="0062688C" w:rsidP="00F113F3">
      <w:pPr>
        <w:ind w:firstLine="709"/>
        <w:jc w:val="right"/>
        <w:rPr>
          <w:rFonts w:cs="Times New Roman"/>
          <w:b/>
          <w:szCs w:val="28"/>
          <w:lang w:val="en-US"/>
        </w:rPr>
      </w:pPr>
      <w:proofErr w:type="spellStart"/>
      <w:r w:rsidRPr="00F15F35">
        <w:rPr>
          <w:rFonts w:cs="Times New Roman"/>
          <w:b/>
          <w:szCs w:val="28"/>
          <w:lang w:val="en-US"/>
        </w:rPr>
        <w:t>Ilchuk</w:t>
      </w:r>
      <w:proofErr w:type="spellEnd"/>
      <w:r w:rsidRPr="00F15F35">
        <w:rPr>
          <w:rFonts w:cs="Times New Roman"/>
          <w:b/>
          <w:szCs w:val="28"/>
          <w:lang w:val="en-US"/>
        </w:rPr>
        <w:t xml:space="preserve"> </w:t>
      </w:r>
      <w:proofErr w:type="spellStart"/>
      <w:r w:rsidRPr="00F15F35">
        <w:rPr>
          <w:rFonts w:cs="Times New Roman"/>
          <w:b/>
          <w:szCs w:val="28"/>
          <w:lang w:val="en-US"/>
        </w:rPr>
        <w:t>Pavlo</w:t>
      </w:r>
      <w:proofErr w:type="spellEnd"/>
    </w:p>
    <w:p w:rsidR="0062688C" w:rsidRPr="002747C6" w:rsidRDefault="0062688C" w:rsidP="00F113F3">
      <w:pPr>
        <w:ind w:firstLine="709"/>
        <w:jc w:val="right"/>
        <w:rPr>
          <w:rFonts w:cs="Times New Roman"/>
          <w:i/>
          <w:szCs w:val="28"/>
          <w:lang w:val="en-US"/>
        </w:rPr>
      </w:pPr>
      <w:r w:rsidRPr="002747C6">
        <w:rPr>
          <w:rFonts w:cs="Times New Roman"/>
          <w:i/>
          <w:szCs w:val="28"/>
          <w:lang w:val="en-US"/>
        </w:rPr>
        <w:t>Doctor of Economics (ScD), Professor,</w:t>
      </w:r>
    </w:p>
    <w:p w:rsidR="0062688C" w:rsidRPr="002747C6" w:rsidRDefault="0062688C" w:rsidP="00F113F3">
      <w:pPr>
        <w:ind w:firstLine="709"/>
        <w:jc w:val="right"/>
        <w:rPr>
          <w:rFonts w:cs="Times New Roman"/>
          <w:i/>
          <w:szCs w:val="28"/>
          <w:lang w:val="en-US"/>
        </w:rPr>
      </w:pPr>
      <w:r w:rsidRPr="002747C6">
        <w:rPr>
          <w:rFonts w:cs="Times New Roman"/>
          <w:i/>
          <w:szCs w:val="28"/>
          <w:lang w:val="en-US"/>
        </w:rPr>
        <w:t>Head at the Department of Management Technologies</w:t>
      </w:r>
    </w:p>
    <w:p w:rsidR="0062688C" w:rsidRPr="002747C6" w:rsidRDefault="0062688C" w:rsidP="00F113F3">
      <w:pPr>
        <w:ind w:firstLine="709"/>
        <w:jc w:val="right"/>
        <w:rPr>
          <w:rFonts w:cs="Times New Roman"/>
          <w:i/>
          <w:szCs w:val="28"/>
          <w:lang w:val="en-US"/>
        </w:rPr>
      </w:pPr>
      <w:proofErr w:type="spellStart"/>
      <w:r w:rsidRPr="002747C6">
        <w:rPr>
          <w:rFonts w:cs="Times New Roman"/>
          <w:i/>
          <w:szCs w:val="28"/>
          <w:lang w:val="en-US"/>
        </w:rPr>
        <w:t>Lviv</w:t>
      </w:r>
      <w:proofErr w:type="spellEnd"/>
      <w:r w:rsidRPr="002747C6">
        <w:rPr>
          <w:rFonts w:cs="Times New Roman"/>
          <w:i/>
          <w:szCs w:val="28"/>
          <w:lang w:val="en-US"/>
        </w:rPr>
        <w:t xml:space="preserve"> Polytechnic National University</w:t>
      </w:r>
    </w:p>
    <w:p w:rsidR="0062688C" w:rsidRPr="00F15F35" w:rsidRDefault="0062688C" w:rsidP="00F113F3">
      <w:pPr>
        <w:ind w:firstLine="709"/>
        <w:jc w:val="right"/>
        <w:rPr>
          <w:rFonts w:cs="Times New Roman"/>
          <w:b/>
          <w:szCs w:val="28"/>
          <w:lang w:val="en-US"/>
        </w:rPr>
      </w:pPr>
      <w:proofErr w:type="spellStart"/>
      <w:r w:rsidRPr="00F15F35">
        <w:rPr>
          <w:rFonts w:cs="Times New Roman"/>
          <w:b/>
          <w:szCs w:val="28"/>
          <w:lang w:val="en-US"/>
        </w:rPr>
        <w:t>Kots</w:t>
      </w:r>
      <w:proofErr w:type="spellEnd"/>
      <w:r w:rsidRPr="00F15F35">
        <w:rPr>
          <w:rFonts w:cs="Times New Roman"/>
          <w:b/>
          <w:szCs w:val="28"/>
          <w:lang w:val="en-US"/>
        </w:rPr>
        <w:t xml:space="preserve"> </w:t>
      </w:r>
      <w:proofErr w:type="spellStart"/>
      <w:r w:rsidRPr="00F15F35">
        <w:rPr>
          <w:rFonts w:cs="Times New Roman"/>
          <w:b/>
          <w:szCs w:val="28"/>
          <w:lang w:val="en-US"/>
        </w:rPr>
        <w:t>Olha</w:t>
      </w:r>
      <w:proofErr w:type="spellEnd"/>
    </w:p>
    <w:p w:rsidR="0062688C" w:rsidRPr="002747C6" w:rsidRDefault="0062688C" w:rsidP="00F113F3">
      <w:pPr>
        <w:ind w:firstLine="709"/>
        <w:jc w:val="right"/>
        <w:rPr>
          <w:rFonts w:cs="Times New Roman"/>
          <w:i/>
          <w:szCs w:val="28"/>
          <w:lang w:val="en-US"/>
        </w:rPr>
      </w:pPr>
      <w:r w:rsidRPr="002747C6">
        <w:rPr>
          <w:rFonts w:cs="Times New Roman"/>
          <w:i/>
          <w:szCs w:val="28"/>
          <w:lang w:val="en-US"/>
        </w:rPr>
        <w:t>Candidate of Economic Sciences (PhD), Associate Professor,</w:t>
      </w:r>
    </w:p>
    <w:p w:rsidR="0062688C" w:rsidRPr="002747C6" w:rsidRDefault="0062688C" w:rsidP="00F113F3">
      <w:pPr>
        <w:ind w:firstLine="709"/>
        <w:jc w:val="right"/>
        <w:rPr>
          <w:rFonts w:cs="Times New Roman"/>
          <w:i/>
          <w:szCs w:val="28"/>
          <w:lang w:val="en-US"/>
        </w:rPr>
      </w:pPr>
      <w:r w:rsidRPr="002747C6">
        <w:rPr>
          <w:rFonts w:cs="Times New Roman"/>
          <w:i/>
          <w:szCs w:val="28"/>
          <w:lang w:val="en-US"/>
        </w:rPr>
        <w:t>Associate Professor at the Department of Finance</w:t>
      </w:r>
    </w:p>
    <w:p w:rsidR="0062688C" w:rsidRPr="002747C6" w:rsidRDefault="0062688C" w:rsidP="00F113F3">
      <w:pPr>
        <w:ind w:firstLine="709"/>
        <w:jc w:val="right"/>
        <w:rPr>
          <w:rFonts w:cs="Times New Roman"/>
          <w:i/>
          <w:szCs w:val="28"/>
          <w:lang w:val="en-US"/>
        </w:rPr>
      </w:pPr>
      <w:proofErr w:type="spellStart"/>
      <w:r w:rsidRPr="002747C6">
        <w:rPr>
          <w:rFonts w:cs="Times New Roman"/>
          <w:i/>
          <w:szCs w:val="28"/>
          <w:lang w:val="en-US"/>
        </w:rPr>
        <w:t>Lviv</w:t>
      </w:r>
      <w:proofErr w:type="spellEnd"/>
      <w:r w:rsidRPr="002747C6">
        <w:rPr>
          <w:rFonts w:cs="Times New Roman"/>
          <w:i/>
          <w:szCs w:val="28"/>
          <w:lang w:val="en-US"/>
        </w:rPr>
        <w:t xml:space="preserve"> Polytechnic National University</w:t>
      </w:r>
    </w:p>
    <w:p w:rsidR="0062688C" w:rsidRPr="00F15F35" w:rsidRDefault="0062688C" w:rsidP="00F113F3">
      <w:pPr>
        <w:ind w:firstLine="709"/>
        <w:jc w:val="right"/>
        <w:rPr>
          <w:rFonts w:cs="Times New Roman"/>
          <w:b/>
          <w:szCs w:val="28"/>
          <w:lang w:val="en-US"/>
        </w:rPr>
      </w:pPr>
      <w:proofErr w:type="spellStart"/>
      <w:r w:rsidRPr="00F15F35">
        <w:rPr>
          <w:rFonts w:cs="Times New Roman"/>
          <w:b/>
          <w:szCs w:val="28"/>
          <w:lang w:val="en-US"/>
        </w:rPr>
        <w:t>Kuzyk</w:t>
      </w:r>
      <w:proofErr w:type="spellEnd"/>
      <w:r w:rsidRPr="00F15F35">
        <w:rPr>
          <w:rFonts w:cs="Times New Roman"/>
          <w:b/>
          <w:szCs w:val="28"/>
          <w:lang w:val="en-US"/>
        </w:rPr>
        <w:t xml:space="preserve"> </w:t>
      </w:r>
      <w:proofErr w:type="spellStart"/>
      <w:r w:rsidRPr="00F15F35">
        <w:rPr>
          <w:rFonts w:cs="Times New Roman"/>
          <w:b/>
          <w:szCs w:val="28"/>
          <w:lang w:val="en-US"/>
        </w:rPr>
        <w:t>Nastia</w:t>
      </w:r>
      <w:proofErr w:type="spellEnd"/>
    </w:p>
    <w:p w:rsidR="0062688C" w:rsidRPr="002747C6" w:rsidRDefault="0062688C" w:rsidP="00F113F3">
      <w:pPr>
        <w:ind w:firstLine="709"/>
        <w:jc w:val="right"/>
        <w:rPr>
          <w:rFonts w:cs="Times New Roman"/>
          <w:i/>
          <w:szCs w:val="28"/>
          <w:lang w:val="en-US"/>
        </w:rPr>
      </w:pPr>
      <w:r w:rsidRPr="002747C6">
        <w:rPr>
          <w:rFonts w:cs="Times New Roman"/>
          <w:i/>
          <w:szCs w:val="28"/>
          <w:lang w:val="en-US"/>
        </w:rPr>
        <w:t>Student</w:t>
      </w:r>
    </w:p>
    <w:p w:rsidR="0062688C" w:rsidRPr="002747C6" w:rsidRDefault="0062688C" w:rsidP="00F113F3">
      <w:pPr>
        <w:ind w:firstLine="709"/>
        <w:jc w:val="right"/>
        <w:rPr>
          <w:rFonts w:cs="Times New Roman"/>
          <w:i/>
          <w:szCs w:val="28"/>
          <w:lang w:val="en-US"/>
        </w:rPr>
      </w:pPr>
      <w:proofErr w:type="spellStart"/>
      <w:r w:rsidRPr="002747C6">
        <w:rPr>
          <w:rFonts w:cs="Times New Roman"/>
          <w:i/>
          <w:szCs w:val="28"/>
          <w:lang w:val="en-US"/>
        </w:rPr>
        <w:t>Lviv</w:t>
      </w:r>
      <w:proofErr w:type="spellEnd"/>
      <w:r w:rsidRPr="002747C6">
        <w:rPr>
          <w:rFonts w:cs="Times New Roman"/>
          <w:i/>
          <w:szCs w:val="28"/>
          <w:lang w:val="en-US"/>
        </w:rPr>
        <w:t xml:space="preserve"> Polytechnic National University</w:t>
      </w:r>
    </w:p>
    <w:p w:rsidR="0062688C" w:rsidRPr="00F15F35" w:rsidRDefault="0062688C" w:rsidP="00F113F3">
      <w:pPr>
        <w:ind w:firstLine="709"/>
        <w:jc w:val="center"/>
        <w:rPr>
          <w:rFonts w:cs="Times New Roman"/>
          <w:b/>
          <w:lang w:val="en-US"/>
        </w:rPr>
      </w:pPr>
    </w:p>
    <w:p w:rsidR="0062688C" w:rsidRPr="00F15F35" w:rsidRDefault="00F113F3" w:rsidP="00F113F3">
      <w:pPr>
        <w:ind w:firstLine="709"/>
        <w:jc w:val="center"/>
        <w:rPr>
          <w:rFonts w:cs="Times New Roman"/>
          <w:b/>
        </w:rPr>
      </w:pPr>
      <w:r w:rsidRPr="00F15F35">
        <w:rPr>
          <w:rFonts w:cs="Times New Roman"/>
          <w:b/>
        </w:rPr>
        <w:t>ДОСЛІДЖЕННЯ ВПЛИВУ ПАНДЕМІЧНОЇ КРИЗИ COVID-19 НА ДІЯЛЬНІСТЬ УКРАЇНСЬКИХ БАНКІВ</w:t>
      </w:r>
    </w:p>
    <w:p w:rsidR="0062688C" w:rsidRPr="00F15F35" w:rsidRDefault="0062688C" w:rsidP="00F113F3">
      <w:pPr>
        <w:ind w:firstLine="709"/>
        <w:jc w:val="center"/>
        <w:rPr>
          <w:rFonts w:cs="Times New Roman"/>
          <w:b/>
        </w:rPr>
      </w:pPr>
    </w:p>
    <w:p w:rsidR="0062688C" w:rsidRPr="00F15F35" w:rsidRDefault="00F113F3" w:rsidP="00F113F3">
      <w:pPr>
        <w:ind w:firstLine="709"/>
        <w:jc w:val="center"/>
        <w:rPr>
          <w:rFonts w:cs="Times New Roman"/>
          <w:b/>
          <w:lang w:val="en-US"/>
        </w:rPr>
      </w:pPr>
      <w:r w:rsidRPr="00F15F35">
        <w:rPr>
          <w:rFonts w:cs="Times New Roman"/>
          <w:b/>
          <w:lang w:val="en-US"/>
        </w:rPr>
        <w:lastRenderedPageBreak/>
        <w:t xml:space="preserve">EXPLORING THE IMPACT OF THE COVID-19 PANDEMIC CRISIS ON THE UKRAINIAN BANKS’ ACTIVITIES </w:t>
      </w:r>
    </w:p>
    <w:p w:rsidR="0062688C" w:rsidRPr="00F15F35" w:rsidRDefault="0062688C" w:rsidP="00F113F3">
      <w:pPr>
        <w:ind w:firstLine="709"/>
      </w:pPr>
    </w:p>
    <w:p w:rsidR="0062688C" w:rsidRPr="00F15F35" w:rsidRDefault="0062688C" w:rsidP="00F113F3">
      <w:pPr>
        <w:ind w:firstLine="709"/>
        <w:rPr>
          <w:b/>
        </w:rPr>
      </w:pPr>
      <w:r w:rsidRPr="00F15F35">
        <w:rPr>
          <w:b/>
        </w:rPr>
        <w:t>АНОТАЦІЯ</w:t>
      </w:r>
    </w:p>
    <w:p w:rsidR="0062688C" w:rsidRPr="00F15F35" w:rsidRDefault="0062688C" w:rsidP="00F113F3">
      <w:pPr>
        <w:ind w:firstLine="709"/>
      </w:pPr>
      <w:r w:rsidRPr="00F15F35">
        <w:t>У статті виконано дослідження впливу пандемічної кризи 2020 р. на динаміку показників українських банків. Доведено, що підтримання стабільної роботи банків у період кризи є необхідною умовою фінансової стабільності в країні. Рекомендовано розрізняти позитивний та негативний вплив пандемічної кризи на діяльність банків. Результати дослідження дали змогу ідентифікувати негативний вплив COVID-19 на діяльність українських банків у розрізі показників ефективності та позитивний вплив у розрізі показників капіталізації та організації бізнесу. Основною</w:t>
      </w:r>
      <w:r w:rsidR="00357C2B" w:rsidRPr="00F15F35">
        <w:t xml:space="preserve"> перевагою для банків стала</w:t>
      </w:r>
      <w:r w:rsidRPr="00F15F35">
        <w:t xml:space="preserve"> необхідність</w:t>
      </w:r>
      <w:r w:rsidR="00357C2B" w:rsidRPr="00F15F35">
        <w:t xml:space="preserve"> населення у них як учасниках</w:t>
      </w:r>
      <w:r w:rsidRPr="00F15F35">
        <w:t xml:space="preserve"> фінансового ринку, що зумовило стрімкий розвиток інструментів дистанційного обслуговування клієнтів та </w:t>
      </w:r>
      <w:proofErr w:type="spellStart"/>
      <w:r w:rsidRPr="00F15F35">
        <w:t>діджиталізації</w:t>
      </w:r>
      <w:proofErr w:type="spellEnd"/>
      <w:r w:rsidRPr="00F15F35">
        <w:t xml:space="preserve"> окремих бізнес-процесів. З</w:t>
      </w:r>
      <w:r w:rsidR="00357C2B" w:rsidRPr="00F15F35">
        <w:t xml:space="preserve"> огляду н</w:t>
      </w:r>
      <w:r w:rsidRPr="00F15F35">
        <w:t>а практично незмінну кількість банків, що функц</w:t>
      </w:r>
      <w:r w:rsidR="00357C2B" w:rsidRPr="00F15F35">
        <w:t>іонують в Україні впродовж 2020–</w:t>
      </w:r>
      <w:r w:rsidRPr="00F15F35">
        <w:t>2021 рр., COVID-19 не став причиною їхньо</w:t>
      </w:r>
      <w:r w:rsidR="00357C2B" w:rsidRPr="00F15F35">
        <w:t>ї</w:t>
      </w:r>
      <w:r w:rsidRPr="00F15F35">
        <w:t xml:space="preserve"> відмови від господарювання та виходу з ринку.</w:t>
      </w:r>
    </w:p>
    <w:p w:rsidR="0062688C" w:rsidRPr="00F15F35" w:rsidRDefault="0062688C" w:rsidP="00F113F3">
      <w:pPr>
        <w:ind w:firstLine="709"/>
      </w:pPr>
      <w:r w:rsidRPr="00F15F35">
        <w:rPr>
          <w:b/>
        </w:rPr>
        <w:t>Ключові слова:</w:t>
      </w:r>
      <w:r w:rsidRPr="00F15F35">
        <w:t xml:space="preserve"> банк, криза, COVID-19, динаміка показників, вплив.</w:t>
      </w:r>
    </w:p>
    <w:p w:rsidR="0062688C" w:rsidRPr="00F15F35" w:rsidRDefault="0062688C" w:rsidP="00F113F3">
      <w:pPr>
        <w:ind w:firstLine="709"/>
      </w:pPr>
    </w:p>
    <w:p w:rsidR="0062688C" w:rsidRPr="00F15F35" w:rsidRDefault="0062688C" w:rsidP="00F113F3">
      <w:pPr>
        <w:ind w:firstLine="709"/>
        <w:rPr>
          <w:b/>
          <w:lang w:val="ru-RU"/>
        </w:rPr>
      </w:pPr>
      <w:r w:rsidRPr="00F15F35">
        <w:rPr>
          <w:b/>
          <w:lang w:val="ru-RU"/>
        </w:rPr>
        <w:t>АННОТАЦИЯ</w:t>
      </w:r>
    </w:p>
    <w:p w:rsidR="0062688C" w:rsidRPr="00F15F35" w:rsidRDefault="0062688C" w:rsidP="00F113F3">
      <w:pPr>
        <w:ind w:firstLine="709"/>
        <w:rPr>
          <w:lang w:val="ru-RU"/>
        </w:rPr>
      </w:pPr>
      <w:r w:rsidRPr="00F15F35">
        <w:rPr>
          <w:lang w:val="ru-RU"/>
        </w:rPr>
        <w:t>В статье выполнено исследование влияния пандемического кризиса 2020 г. на динамику показателей украинских банков. Доказано, что поддержание стабильной работы банков в период кризиса является необходимым условием финансовой стабильности в стране. Рекомендовано различать позитивное и негативное влияние пандемического кризиса на деятельность банков. Результаты исследования позволили идентифицировать негативное влияние COVID-19 на деятельность украинских банков в разрезе показателей эффекти</w:t>
      </w:r>
      <w:r w:rsidR="00357C2B" w:rsidRPr="00F15F35">
        <w:rPr>
          <w:lang w:val="ru-RU"/>
        </w:rPr>
        <w:t>вности и положительное влияние</w:t>
      </w:r>
      <w:r w:rsidRPr="00F15F35">
        <w:rPr>
          <w:lang w:val="ru-RU"/>
        </w:rPr>
        <w:t xml:space="preserve"> в разрезе показателей капитализации и организации бизнеса. Основным преимуществом для банков стала</w:t>
      </w:r>
      <w:r w:rsidR="00357C2B" w:rsidRPr="00F15F35">
        <w:rPr>
          <w:lang w:val="ru-RU"/>
        </w:rPr>
        <w:t xml:space="preserve"> необходимость населения в них</w:t>
      </w:r>
      <w:r w:rsidRPr="00F15F35">
        <w:rPr>
          <w:lang w:val="ru-RU"/>
        </w:rPr>
        <w:t xml:space="preserve"> как участник</w:t>
      </w:r>
      <w:r w:rsidR="00357C2B" w:rsidRPr="00F15F35">
        <w:rPr>
          <w:lang w:val="ru-RU"/>
        </w:rPr>
        <w:t>ах финансового</w:t>
      </w:r>
      <w:r w:rsidRPr="00F15F35">
        <w:rPr>
          <w:lang w:val="ru-RU"/>
        </w:rPr>
        <w:t xml:space="preserve"> рынка, что </w:t>
      </w:r>
      <w:r w:rsidRPr="00F15F35">
        <w:rPr>
          <w:lang w:val="ru-RU"/>
        </w:rPr>
        <w:lastRenderedPageBreak/>
        <w:t xml:space="preserve">обусловило стремительное развитие инструментов дистанционного обслуживания клиентов и </w:t>
      </w:r>
      <w:proofErr w:type="spellStart"/>
      <w:r w:rsidRPr="00F15F35">
        <w:rPr>
          <w:lang w:val="ru-RU"/>
        </w:rPr>
        <w:t>диджитализации</w:t>
      </w:r>
      <w:proofErr w:type="spellEnd"/>
      <w:r w:rsidRPr="00F15F35">
        <w:rPr>
          <w:lang w:val="ru-RU"/>
        </w:rPr>
        <w:t xml:space="preserve"> отдельных бизнес-процессов. </w:t>
      </w:r>
      <w:r w:rsidR="00357C2B" w:rsidRPr="00F15F35">
        <w:rPr>
          <w:lang w:val="ru-RU"/>
        </w:rPr>
        <w:t>С учетом</w:t>
      </w:r>
      <w:r w:rsidRPr="00F15F35">
        <w:rPr>
          <w:lang w:val="ru-RU"/>
        </w:rPr>
        <w:t xml:space="preserve"> практически неизменн</w:t>
      </w:r>
      <w:r w:rsidR="00357C2B" w:rsidRPr="00F15F35">
        <w:rPr>
          <w:lang w:val="ru-RU"/>
        </w:rPr>
        <w:t>ого количества</w:t>
      </w:r>
      <w:r w:rsidRPr="00F15F35">
        <w:rPr>
          <w:lang w:val="ru-RU"/>
        </w:rPr>
        <w:t xml:space="preserve"> банков, функционирующих в Украине </w:t>
      </w:r>
      <w:r w:rsidR="00357C2B" w:rsidRPr="00F15F35">
        <w:rPr>
          <w:lang w:val="ru-RU"/>
        </w:rPr>
        <w:t>в течение 2020–</w:t>
      </w:r>
      <w:r w:rsidRPr="00F15F35">
        <w:rPr>
          <w:lang w:val="ru-RU"/>
        </w:rPr>
        <w:t>2021 гг., COVID-19 не стал причиной их отказа от хозяйствования и выхода с рынка.</w:t>
      </w:r>
    </w:p>
    <w:p w:rsidR="0062688C" w:rsidRPr="00F15F35" w:rsidRDefault="0062688C" w:rsidP="00F113F3">
      <w:pPr>
        <w:ind w:firstLine="709"/>
        <w:rPr>
          <w:lang w:val="ru-RU"/>
        </w:rPr>
      </w:pPr>
      <w:r w:rsidRPr="00F15F35">
        <w:rPr>
          <w:b/>
          <w:lang w:val="ru-RU"/>
        </w:rPr>
        <w:t xml:space="preserve">Ключевые слова: </w:t>
      </w:r>
      <w:r w:rsidRPr="00F15F35">
        <w:rPr>
          <w:lang w:val="ru-RU"/>
        </w:rPr>
        <w:t>банк, кризис, COVID-19, динамика показателей, влияние.</w:t>
      </w:r>
    </w:p>
    <w:p w:rsidR="0062688C" w:rsidRPr="00F15F35" w:rsidRDefault="0062688C" w:rsidP="00F113F3">
      <w:pPr>
        <w:ind w:firstLine="709"/>
      </w:pPr>
    </w:p>
    <w:p w:rsidR="0062688C" w:rsidRPr="00F15F35" w:rsidRDefault="0062688C" w:rsidP="00F113F3">
      <w:pPr>
        <w:ind w:firstLine="709"/>
        <w:rPr>
          <w:b/>
          <w:lang w:val="en-US"/>
        </w:rPr>
      </w:pPr>
      <w:r w:rsidRPr="00F15F35">
        <w:rPr>
          <w:b/>
          <w:lang w:val="en-US"/>
        </w:rPr>
        <w:t>ANNOTATION</w:t>
      </w:r>
    </w:p>
    <w:p w:rsidR="0062688C" w:rsidRPr="00F15F35" w:rsidRDefault="0062688C" w:rsidP="00F113F3">
      <w:pPr>
        <w:ind w:firstLine="709"/>
        <w:rPr>
          <w:lang w:val="en-US"/>
        </w:rPr>
      </w:pPr>
      <w:r w:rsidRPr="00F15F35">
        <w:rPr>
          <w:lang w:val="en-US"/>
        </w:rPr>
        <w:t>The COVID-19 pandemic crisis impact has become an integral part of changes in the economy in general and businesses entities</w:t>
      </w:r>
      <w:r w:rsidR="00F113F3" w:rsidRPr="00F15F35">
        <w:rPr>
          <w:lang w:val="en-US"/>
        </w:rPr>
        <w:t>’</w:t>
      </w:r>
      <w:r w:rsidRPr="00F15F35">
        <w:rPr>
          <w:lang w:val="en-US"/>
        </w:rPr>
        <w:t xml:space="preserve"> activities in particular. Banks are no exception. The article examines the impact of the pandemic crisis on the dynamics of Ukrainian banks</w:t>
      </w:r>
      <w:r w:rsidR="00F113F3" w:rsidRPr="00F15F35">
        <w:rPr>
          <w:lang w:val="en-US"/>
        </w:rPr>
        <w:t>’</w:t>
      </w:r>
      <w:r w:rsidRPr="00F15F35">
        <w:rPr>
          <w:lang w:val="en-US"/>
        </w:rPr>
        <w:t xml:space="preserve"> indices. Maintaining stable banks</w:t>
      </w:r>
      <w:r w:rsidR="00F113F3" w:rsidRPr="00F15F35">
        <w:rPr>
          <w:lang w:val="en-US"/>
        </w:rPr>
        <w:t>’</w:t>
      </w:r>
      <w:r w:rsidRPr="00F15F35">
        <w:rPr>
          <w:lang w:val="en-US"/>
        </w:rPr>
        <w:t xml:space="preserve"> activity during the crisis is a necessary condition for financial stability in the country. The results of the analysis of the scientific literature showed that the spread of the COVID-19 pandemic has a statistically significant negative impact on the credit risk of the banking sector, profitability, and solvency of banks. Banks have enough funds to support a sustainable economy but do not want to take credit risk. The study results also showed a reduction in lending to the economy, despite a set of measures to stimulate lending implemented by the state. The analysis of theoretical approaches to identifying the impact of the COVID-19 pandemic crisis on the activities of Ukrainian banks has shown that there is no single understanding and interpretation of such impact in the scientific literature. It is recommended to distinguish between the positive and negative impacts of the pandemic crisis on the banks</w:t>
      </w:r>
      <w:r w:rsidR="00F113F3" w:rsidRPr="00F15F35">
        <w:rPr>
          <w:lang w:val="en-US"/>
        </w:rPr>
        <w:t>’</w:t>
      </w:r>
      <w:r w:rsidRPr="00F15F35">
        <w:rPr>
          <w:lang w:val="en-US"/>
        </w:rPr>
        <w:t xml:space="preserve"> activities. The study results made it possible to identify the negative impact of COVID-19 on the activities of Ukrainian banks in terms of efficiency indicators and the positive impact </w:t>
      </w:r>
      <w:r w:rsidR="00357C2B" w:rsidRPr="00F15F35">
        <w:rPr>
          <w:lang w:val="en-US"/>
        </w:rPr>
        <w:t>–</w:t>
      </w:r>
      <w:r w:rsidRPr="00F15F35">
        <w:rPr>
          <w:lang w:val="en-US"/>
        </w:rPr>
        <w:t xml:space="preserve"> in terms of capitalization and business organization. The main advantage for banks was their need as participants in the financial market, which led to the rapid development of tools for remote customer service and digitalization of individual business processes. Given the virtually unchanged number of banks o</w:t>
      </w:r>
      <w:r w:rsidR="00357C2B" w:rsidRPr="00F15F35">
        <w:rPr>
          <w:lang w:val="en-US"/>
        </w:rPr>
        <w:t xml:space="preserve">perating in </w:t>
      </w:r>
      <w:r w:rsidR="00357C2B" w:rsidRPr="00F15F35">
        <w:rPr>
          <w:lang w:val="en-US"/>
        </w:rPr>
        <w:lastRenderedPageBreak/>
        <w:t>Ukraine during 2020</w:t>
      </w:r>
      <w:r w:rsidR="00357C2B" w:rsidRPr="00F15F35">
        <w:rPr>
          <w:lang w:val="ru-RU"/>
        </w:rPr>
        <w:t>–</w:t>
      </w:r>
      <w:r w:rsidRPr="00F15F35">
        <w:rPr>
          <w:lang w:val="en-US"/>
        </w:rPr>
        <w:t>2021, COVID-19 was not the reason for their refusal to work and exit the market. Maintaining the positive dynamics of most performance indicators by Ukrainian banks became possible due to the significant financial strength formed in the pre-crisis year. Given the low inflation and a significant reduction in interest rates on loans, the COVID-19 pandemic did not significantly negatively impact Ukrainian banks. Banks, in general, have proved to be quite resilient to this crisis.</w:t>
      </w:r>
    </w:p>
    <w:p w:rsidR="0062688C" w:rsidRPr="00F15F35" w:rsidRDefault="0062688C" w:rsidP="00F113F3">
      <w:pPr>
        <w:ind w:firstLine="709"/>
        <w:rPr>
          <w:lang w:val="en-US"/>
        </w:rPr>
      </w:pPr>
      <w:r w:rsidRPr="00F15F35">
        <w:rPr>
          <w:b/>
          <w:lang w:val="en-US"/>
        </w:rPr>
        <w:t>Key</w:t>
      </w:r>
      <w:r w:rsidR="00357C2B" w:rsidRPr="00F15F35">
        <w:rPr>
          <w:b/>
        </w:rPr>
        <w:t xml:space="preserve"> </w:t>
      </w:r>
      <w:r w:rsidRPr="00F15F35">
        <w:rPr>
          <w:b/>
          <w:lang w:val="en-US"/>
        </w:rPr>
        <w:t>words:</w:t>
      </w:r>
      <w:r w:rsidRPr="00F15F35">
        <w:rPr>
          <w:lang w:val="en-US"/>
        </w:rPr>
        <w:t xml:space="preserve"> bank, crisis, COVID-19, dynamics of indicators, influence.</w:t>
      </w:r>
    </w:p>
    <w:p w:rsidR="0062688C" w:rsidRPr="00F15F35" w:rsidRDefault="0062688C" w:rsidP="00F113F3">
      <w:pPr>
        <w:ind w:firstLine="709"/>
        <w:rPr>
          <w:lang w:val="en-US"/>
        </w:rPr>
      </w:pPr>
    </w:p>
    <w:p w:rsidR="0062688C" w:rsidRPr="00F15F35" w:rsidRDefault="0062688C" w:rsidP="00F113F3">
      <w:pPr>
        <w:ind w:firstLine="709"/>
      </w:pPr>
      <w:r w:rsidRPr="00F15F35">
        <w:rPr>
          <w:b/>
        </w:rPr>
        <w:t>Постановка проблеми.</w:t>
      </w:r>
      <w:r w:rsidRPr="00F15F35">
        <w:t xml:space="preserve"> </w:t>
      </w:r>
      <w:r w:rsidR="00357C2B" w:rsidRPr="00F15F35">
        <w:t>Пандемічна криза 2020 р.</w:t>
      </w:r>
      <w:r w:rsidRPr="00F15F35">
        <w:t xml:space="preserve"> змінила умови ведення бізнесу для усіх суб</w:t>
      </w:r>
      <w:r w:rsidR="00F113F3" w:rsidRPr="00F15F35">
        <w:t>’</w:t>
      </w:r>
      <w:r w:rsidRPr="00F15F35">
        <w:t xml:space="preserve">єктів </w:t>
      </w:r>
      <w:r w:rsidR="00357C2B" w:rsidRPr="00F15F35">
        <w:t>господарювання. Багатьом</w:t>
      </w:r>
      <w:r w:rsidRPr="00F15F35">
        <w:t xml:space="preserve"> з них довелося відмовитися від подальшого господарювання у зв</w:t>
      </w:r>
      <w:r w:rsidR="00F113F3" w:rsidRPr="00F15F35">
        <w:t>’</w:t>
      </w:r>
      <w:r w:rsidR="00357C2B" w:rsidRPr="00F15F35">
        <w:t xml:space="preserve">язку </w:t>
      </w:r>
      <w:r w:rsidRPr="00F15F35">
        <w:t xml:space="preserve">з неможливістю адаптувати свою діяльність та </w:t>
      </w:r>
      <w:proofErr w:type="spellStart"/>
      <w:r w:rsidRPr="00F15F35">
        <w:t>проактивно</w:t>
      </w:r>
      <w:proofErr w:type="spellEnd"/>
      <w:r w:rsidRPr="00F15F35">
        <w:t xml:space="preserve"> реагувати на зміни бізнес-середовища. Проте якщо закриття кафе, ресторанів, магазинів провокує зміни у виборі контрагентів, то закриття банків може стати причиною руйнації бан</w:t>
      </w:r>
      <w:r w:rsidR="00357C2B" w:rsidRPr="00F15F35">
        <w:t xml:space="preserve">ківської системи країни загалом і зумовити потребу </w:t>
      </w:r>
      <w:r w:rsidRPr="00F15F35">
        <w:t xml:space="preserve">реорганізації </w:t>
      </w:r>
      <w:r w:rsidR="00357C2B" w:rsidRPr="00F15F35">
        <w:t>фінансової системи та здійснення грошової реформи, т</w:t>
      </w:r>
      <w:r w:rsidRPr="00F15F35">
        <w:t>ому підтримання роботи банків у кризові періоди є необхідним загальнодержавним завданням, яке реалізує Національний банк України (НБУ).</w:t>
      </w:r>
    </w:p>
    <w:p w:rsidR="0062688C" w:rsidRPr="00F15F35" w:rsidRDefault="0062688C" w:rsidP="00F113F3">
      <w:pPr>
        <w:ind w:firstLine="709"/>
      </w:pPr>
      <w:r w:rsidRPr="00F15F35">
        <w:t>НБУ у «Звіті про фінансову стабільність» [1] стверджує, що</w:t>
      </w:r>
      <w:r w:rsidR="00F113F3" w:rsidRPr="00F15F35">
        <w:t xml:space="preserve"> </w:t>
      </w:r>
      <w:r w:rsidRPr="00F15F35">
        <w:t>банки виявилися стійкими до пандемічної кризи. Банки розпочали 2020 р. зі значним запасом капіталу, що забезпечував їм належну стійкість до несприятливих подій. Депозитні корпорації швидко пристосувалися до нових умов роботи та продовжували кредитувати економіку. Зокрема, банки брали участь у реалізації державних програм підтримки малого бізнесу та надавали необхідні економіці кредитні ресурси. За даними Громадської організації «Центр прикладних досліджень» [2], відпливи коштів фізичних осіб на початку карантину були короткостроковим,</w:t>
      </w:r>
      <w:r w:rsidR="00357C2B" w:rsidRPr="00F15F35">
        <w:t xml:space="preserve"> кредитування уповільнилось</w:t>
      </w:r>
      <w:r w:rsidRPr="00F15F35">
        <w:t xml:space="preserve">, </w:t>
      </w:r>
      <w:r w:rsidR="00357C2B" w:rsidRPr="00F15F35">
        <w:t>спостерігалося</w:t>
      </w:r>
      <w:r w:rsidRPr="00F15F35">
        <w:t xml:space="preserve"> зниження платоспроможності </w:t>
      </w:r>
      <w:r w:rsidR="00357C2B" w:rsidRPr="00F15F35">
        <w:t>й</w:t>
      </w:r>
      <w:r w:rsidRPr="00F15F35">
        <w:t xml:space="preserve"> погіршення споживчих настроїв населення, що негативно позначилися на кредитному попиті, а ключові загрози, які постають перед </w:t>
      </w:r>
      <w:r w:rsidRPr="00F15F35">
        <w:lastRenderedPageBreak/>
        <w:t xml:space="preserve">банківським </w:t>
      </w:r>
      <w:r w:rsidR="00357C2B" w:rsidRPr="00F15F35">
        <w:t xml:space="preserve">сектором, – </w:t>
      </w:r>
      <w:r w:rsidRPr="00F15F35">
        <w:t xml:space="preserve">це </w:t>
      </w:r>
      <w:r w:rsidR="00357C2B" w:rsidRPr="00F15F35">
        <w:t>скорочення</w:t>
      </w:r>
      <w:r w:rsidRPr="00F15F35">
        <w:t xml:space="preserve"> попиту на банківські послуги</w:t>
      </w:r>
      <w:r w:rsidR="00357C2B" w:rsidRPr="00F15F35">
        <w:t xml:space="preserve"> та зниження якості кредитів.</w:t>
      </w:r>
    </w:p>
    <w:p w:rsidR="0062688C" w:rsidRPr="00F15F35" w:rsidRDefault="0062688C" w:rsidP="00F113F3">
      <w:pPr>
        <w:ind w:firstLine="709"/>
      </w:pPr>
      <w:r w:rsidRPr="00F15F35">
        <w:t>Проте цікавим є дослідження динаміки показників діяльності банків з</w:t>
      </w:r>
      <w:r w:rsidR="00357C2B" w:rsidRPr="00F15F35">
        <w:t>адля</w:t>
      </w:r>
      <w:r w:rsidRPr="00F15F35">
        <w:t xml:space="preserve"> виявлення</w:t>
      </w:r>
      <w:r w:rsidR="00357C2B" w:rsidRPr="00F15F35">
        <w:t xml:space="preserve"> того</w:t>
      </w:r>
      <w:r w:rsidRPr="00F15F35">
        <w:t xml:space="preserve">, чи </w:t>
      </w:r>
      <w:r w:rsidR="00357C2B" w:rsidRPr="00F15F35">
        <w:t>вплинув</w:t>
      </w:r>
      <w:r w:rsidRPr="00F15F35">
        <w:t xml:space="preserve"> COVID-19 на результати їхньої роботи, а також чи готовими були українські банки до нової кризи, причинами якої були абсолютно неочікувані чинники, а проявами – </w:t>
      </w:r>
      <w:proofErr w:type="spellStart"/>
      <w:r w:rsidRPr="00F15F35">
        <w:t>локдаун</w:t>
      </w:r>
      <w:proofErr w:type="spellEnd"/>
      <w:r w:rsidRPr="00F15F35">
        <w:t xml:space="preserve"> та карантинні заходи.</w:t>
      </w:r>
    </w:p>
    <w:p w:rsidR="0062688C" w:rsidRPr="00F15F35" w:rsidRDefault="0062688C" w:rsidP="00F113F3">
      <w:pPr>
        <w:ind w:firstLine="709"/>
      </w:pPr>
      <w:r w:rsidRPr="00F15F35">
        <w:rPr>
          <w:b/>
        </w:rPr>
        <w:t>Аналіз останніх дослідж</w:t>
      </w:r>
      <w:r w:rsidR="00357C2B" w:rsidRPr="00F15F35">
        <w:rPr>
          <w:b/>
        </w:rPr>
        <w:t>ень і</w:t>
      </w:r>
      <w:r w:rsidRPr="00F15F35">
        <w:rPr>
          <w:b/>
        </w:rPr>
        <w:t xml:space="preserve"> публікацій.</w:t>
      </w:r>
      <w:r w:rsidRPr="00F15F35">
        <w:t xml:space="preserve"> Наслідки пандемічної кризи, зумовленої поширенням COVID-19, стали пріоритетною темою наукових досліджень останнього року, в тому числі</w:t>
      </w:r>
      <w:r w:rsidR="00357C2B" w:rsidRPr="00F15F35">
        <w:t>,</w:t>
      </w:r>
      <w:r w:rsidRPr="00F15F35">
        <w:t xml:space="preserve"> науковці аналізують вплив цієї кризи на банківську систему. Особливості роботи банків в умовах пандемії COVID-19 розкривають </w:t>
      </w:r>
      <w:r w:rsidR="00357C2B" w:rsidRPr="00F15F35">
        <w:t xml:space="preserve">М.О. </w:t>
      </w:r>
      <w:proofErr w:type="spellStart"/>
      <w:r w:rsidR="00357C2B" w:rsidRPr="00F15F35">
        <w:t>Житар</w:t>
      </w:r>
      <w:proofErr w:type="spellEnd"/>
      <w:r w:rsidR="00357C2B" w:rsidRPr="00F15F35">
        <w:t>, А.</w:t>
      </w:r>
      <w:r w:rsidRPr="00F15F35">
        <w:t xml:space="preserve">С. </w:t>
      </w:r>
      <w:proofErr w:type="spellStart"/>
      <w:r w:rsidRPr="00F15F35">
        <w:t>Ясентюк</w:t>
      </w:r>
      <w:proofErr w:type="spellEnd"/>
      <w:r w:rsidRPr="00F15F35">
        <w:t xml:space="preserve"> [3, c</w:t>
      </w:r>
      <w:r w:rsidR="00357C2B" w:rsidRPr="00F15F35">
        <w:t>. 113–</w:t>
      </w:r>
      <w:r w:rsidRPr="00F15F35">
        <w:t xml:space="preserve">125], </w:t>
      </w:r>
      <w:r w:rsidR="00357C2B" w:rsidRPr="00F15F35">
        <w:t>О.</w:t>
      </w:r>
      <w:r w:rsidRPr="00F15F35">
        <w:t xml:space="preserve">В. </w:t>
      </w:r>
      <w:proofErr w:type="spellStart"/>
      <w:r w:rsidRPr="00F15F35">
        <w:t>Дзюблюк</w:t>
      </w:r>
      <w:proofErr w:type="spellEnd"/>
      <w:r w:rsidRPr="00F15F35">
        <w:t xml:space="preserve"> [4, c</w:t>
      </w:r>
      <w:r w:rsidR="00357C2B" w:rsidRPr="00F15F35">
        <w:t>. 25–</w:t>
      </w:r>
      <w:r w:rsidRPr="00F15F35">
        <w:t xml:space="preserve">55], </w:t>
      </w:r>
      <w:r w:rsidR="00357C2B" w:rsidRPr="00F15F35">
        <w:t>І.В. Пасічник, Р.</w:t>
      </w:r>
      <w:r w:rsidRPr="00F15F35">
        <w:t>Д. Назаренко [5, c</w:t>
      </w:r>
      <w:r w:rsidR="00357C2B" w:rsidRPr="00F15F35">
        <w:t>. 245–</w:t>
      </w:r>
      <w:r w:rsidRPr="00F15F35">
        <w:t xml:space="preserve">251], </w:t>
      </w:r>
      <w:r w:rsidR="00357C2B" w:rsidRPr="00F15F35">
        <w:t xml:space="preserve">Л.Р. </w:t>
      </w:r>
      <w:proofErr w:type="spellStart"/>
      <w:r w:rsidR="00357C2B" w:rsidRPr="00F15F35">
        <w:t>Маринчак</w:t>
      </w:r>
      <w:proofErr w:type="spellEnd"/>
      <w:r w:rsidR="00357C2B" w:rsidRPr="00F15F35">
        <w:t>, І.</w:t>
      </w:r>
      <w:r w:rsidRPr="00F15F35">
        <w:t xml:space="preserve">С. </w:t>
      </w:r>
      <w:proofErr w:type="spellStart"/>
      <w:r w:rsidRPr="00F15F35">
        <w:t>Масик</w:t>
      </w:r>
      <w:proofErr w:type="spellEnd"/>
      <w:r w:rsidRPr="00F15F35">
        <w:t xml:space="preserve"> [6, c</w:t>
      </w:r>
      <w:r w:rsidR="00357C2B" w:rsidRPr="00F15F35">
        <w:t>. 174–</w:t>
      </w:r>
      <w:r w:rsidRPr="00F15F35">
        <w:t xml:space="preserve">183], </w:t>
      </w:r>
      <w:r w:rsidR="00357C2B" w:rsidRPr="00F15F35">
        <w:t xml:space="preserve">А.С. </w:t>
      </w:r>
      <w:proofErr w:type="spellStart"/>
      <w:r w:rsidR="00357C2B" w:rsidRPr="00F15F35">
        <w:t>Завербний</w:t>
      </w:r>
      <w:proofErr w:type="spellEnd"/>
      <w:r w:rsidR="00357C2B" w:rsidRPr="00F15F35">
        <w:t>, Н.</w:t>
      </w:r>
      <w:r w:rsidRPr="00F15F35">
        <w:t xml:space="preserve">Р. </w:t>
      </w:r>
      <w:proofErr w:type="spellStart"/>
      <w:r w:rsidRPr="00F15F35">
        <w:t>Сокульський</w:t>
      </w:r>
      <w:proofErr w:type="spellEnd"/>
      <w:r w:rsidRPr="00F15F35">
        <w:t xml:space="preserve"> [7, c</w:t>
      </w:r>
      <w:r w:rsidR="00357C2B" w:rsidRPr="00F15F35">
        <w:t>. 5–</w:t>
      </w:r>
      <w:r w:rsidRPr="00F15F35">
        <w:t xml:space="preserve">9], </w:t>
      </w:r>
      <w:r w:rsidR="00357C2B" w:rsidRPr="00F15F35">
        <w:t>О.</w:t>
      </w:r>
      <w:r w:rsidRPr="00F15F35">
        <w:t xml:space="preserve">І. </w:t>
      </w:r>
      <w:proofErr w:type="spellStart"/>
      <w:r w:rsidRPr="00F15F35">
        <w:t>Щуревич</w:t>
      </w:r>
      <w:proofErr w:type="spellEnd"/>
      <w:r w:rsidRPr="00F15F35">
        <w:t xml:space="preserve">, О.Ю. </w:t>
      </w:r>
      <w:proofErr w:type="spellStart"/>
      <w:r w:rsidRPr="00F15F35">
        <w:t>Калинів</w:t>
      </w:r>
      <w:proofErr w:type="spellEnd"/>
      <w:r w:rsidRPr="00F15F35">
        <w:t xml:space="preserve"> [</w:t>
      </w:r>
      <w:r w:rsidR="00357C2B" w:rsidRPr="00F15F35">
        <w:t>8, с. 125–</w:t>
      </w:r>
      <w:r w:rsidRPr="00F15F35">
        <w:t xml:space="preserve">132], </w:t>
      </w:r>
      <w:r w:rsidR="00357C2B" w:rsidRPr="00F15F35">
        <w:t>О.А. Боднар, В.С. Паламарчук, А.</w:t>
      </w:r>
      <w:r w:rsidRPr="00F15F35">
        <w:t>О. Гаврилов [9, c</w:t>
      </w:r>
      <w:r w:rsidR="00357C2B" w:rsidRPr="00F15F35">
        <w:t>. 13–</w:t>
      </w:r>
      <w:r w:rsidRPr="00F15F35">
        <w:t>19] та інші українські науковці.</w:t>
      </w:r>
    </w:p>
    <w:p w:rsidR="0062688C" w:rsidRPr="00F15F35" w:rsidRDefault="0062688C" w:rsidP="00F113F3">
      <w:pPr>
        <w:ind w:firstLine="709"/>
      </w:pPr>
      <w:r w:rsidRPr="00F15F35">
        <w:t>Зокрема</w:t>
      </w:r>
      <w:r w:rsidR="00357C2B" w:rsidRPr="00F15F35">
        <w:t>,</w:t>
      </w:r>
      <w:r w:rsidRPr="00F15F35">
        <w:t xml:space="preserve"> </w:t>
      </w:r>
      <w:r w:rsidR="00357C2B" w:rsidRPr="00F15F35">
        <w:t xml:space="preserve">М.О. </w:t>
      </w:r>
      <w:proofErr w:type="spellStart"/>
      <w:r w:rsidR="00357C2B" w:rsidRPr="00F15F35">
        <w:t>Житар</w:t>
      </w:r>
      <w:proofErr w:type="spellEnd"/>
      <w:r w:rsidR="00357C2B" w:rsidRPr="00F15F35">
        <w:t>, А.</w:t>
      </w:r>
      <w:r w:rsidRPr="00F15F35">
        <w:t xml:space="preserve">С. </w:t>
      </w:r>
      <w:proofErr w:type="spellStart"/>
      <w:r w:rsidRPr="00F15F35">
        <w:t>Ясентюк</w:t>
      </w:r>
      <w:proofErr w:type="spellEnd"/>
      <w:r w:rsidRPr="00F15F35">
        <w:t xml:space="preserve"> [3, c</w:t>
      </w:r>
      <w:r w:rsidR="00357C2B" w:rsidRPr="00F15F35">
        <w:t>. 113–</w:t>
      </w:r>
      <w:r w:rsidRPr="00F15F35">
        <w:t xml:space="preserve">125] </w:t>
      </w:r>
      <w:r w:rsidRPr="00F15F35">
        <w:rPr>
          <w:rStyle w:val="fontstyle01"/>
          <w:color w:val="auto"/>
        </w:rPr>
        <w:t>доводять, що запровадження карантину сприяло пришвидшенню</w:t>
      </w:r>
      <w:r w:rsidRPr="00F15F35">
        <w:rPr>
          <w:szCs w:val="28"/>
        </w:rPr>
        <w:t xml:space="preserve"> </w:t>
      </w:r>
      <w:proofErr w:type="spellStart"/>
      <w:r w:rsidRPr="00F15F35">
        <w:rPr>
          <w:rStyle w:val="fontstyle01"/>
          <w:color w:val="auto"/>
        </w:rPr>
        <w:t>діджиталізації</w:t>
      </w:r>
      <w:proofErr w:type="spellEnd"/>
      <w:r w:rsidRPr="00F15F35">
        <w:rPr>
          <w:rStyle w:val="fontstyle01"/>
          <w:color w:val="auto"/>
        </w:rPr>
        <w:t xml:space="preserve"> банківських продуктів та послуг</w:t>
      </w:r>
      <w:r w:rsidRPr="00F15F35">
        <w:t xml:space="preserve">. </w:t>
      </w:r>
      <w:r w:rsidR="00357C2B" w:rsidRPr="00F15F35">
        <w:t>О.А. Боднар, В.С. Паламарчук, А.</w:t>
      </w:r>
      <w:r w:rsidRPr="00F15F35">
        <w:t>О. Гаврилов [9, c</w:t>
      </w:r>
      <w:r w:rsidR="00357C2B" w:rsidRPr="00F15F35">
        <w:t>. 13–</w:t>
      </w:r>
      <w:r w:rsidRPr="00F15F35">
        <w:t>19] пропонують перелік адаптивних заходів для</w:t>
      </w:r>
      <w:r w:rsidR="00357C2B" w:rsidRPr="00F15F35">
        <w:t xml:space="preserve"> підтримання діяльності банків у кризовий період. Інші</w:t>
      </w:r>
      <w:r w:rsidRPr="00F15F35">
        <w:t xml:space="preserve"> вище</w:t>
      </w:r>
      <w:r w:rsidR="00357C2B" w:rsidRPr="00F15F35">
        <w:t>названі автори</w:t>
      </w:r>
      <w:r w:rsidRPr="00F15F35">
        <w:t xml:space="preserve"> зосереджують увагу на особливостях монетарної політи</w:t>
      </w:r>
      <w:r w:rsidR="00357C2B" w:rsidRPr="00F15F35">
        <w:t>ки в умовах пандемії та окреслюють переваги й</w:t>
      </w:r>
      <w:r w:rsidRPr="00F15F35">
        <w:t xml:space="preserve"> недоліки антикризових заходів НБУ в умовах пандемії COVID-19.</w:t>
      </w:r>
    </w:p>
    <w:p w:rsidR="00357C2B" w:rsidRPr="00F15F35" w:rsidRDefault="00357C2B" w:rsidP="00F113F3">
      <w:pPr>
        <w:ind w:firstLine="709"/>
      </w:pPr>
      <w:r w:rsidRPr="00F15F35">
        <w:t>Група досліджень стосує</w:t>
      </w:r>
      <w:r w:rsidR="0062688C" w:rsidRPr="00F15F35">
        <w:t xml:space="preserve">ться внутрішніх змін та слабких сторін банків, що підсилилися внаслідок карантинних заходів та </w:t>
      </w:r>
      <w:proofErr w:type="spellStart"/>
      <w:r w:rsidR="0062688C" w:rsidRPr="00F15F35">
        <w:t>локдауну</w:t>
      </w:r>
      <w:proofErr w:type="spellEnd"/>
      <w:r w:rsidR="0062688C" w:rsidRPr="00F15F35">
        <w:t>. Автори [10] досліджують причини втрати акціями банків своєї ринкової вартості у період криз</w:t>
      </w:r>
      <w:r w:rsidRPr="00F15F35">
        <w:t>и та наголошують на проблемах щодо кредитування</w:t>
      </w:r>
      <w:r w:rsidR="0062688C" w:rsidRPr="00F15F35">
        <w:t xml:space="preserve">, зокрема у вигляді кредитних ліній. </w:t>
      </w:r>
      <w:r w:rsidRPr="00F15F35">
        <w:t>Л.</w:t>
      </w:r>
      <w:r w:rsidR="0062688C" w:rsidRPr="00F15F35">
        <w:t xml:space="preserve">Г. </w:t>
      </w:r>
      <w:proofErr w:type="spellStart"/>
      <w:r w:rsidR="0062688C" w:rsidRPr="00F15F35">
        <w:t>Шемаєва</w:t>
      </w:r>
      <w:proofErr w:type="spellEnd"/>
      <w:r w:rsidR="0062688C" w:rsidRPr="00F15F35">
        <w:t xml:space="preserve"> [11] розглядає</w:t>
      </w:r>
      <w:r w:rsidRPr="00F15F35">
        <w:t xml:space="preserve"> ризики </w:t>
      </w:r>
      <w:r w:rsidR="0062688C" w:rsidRPr="00F15F35">
        <w:t>банківського сектору під час карантину та виокремлює такі:</w:t>
      </w:r>
    </w:p>
    <w:p w:rsidR="00357C2B" w:rsidRPr="00F15F35" w:rsidRDefault="0062688C" w:rsidP="00357C2B">
      <w:pPr>
        <w:pStyle w:val="a4"/>
        <w:numPr>
          <w:ilvl w:val="0"/>
          <w:numId w:val="2"/>
        </w:numPr>
        <w:tabs>
          <w:tab w:val="left" w:pos="709"/>
        </w:tabs>
        <w:ind w:left="0" w:firstLine="284"/>
      </w:pPr>
      <w:r w:rsidRPr="00F15F35">
        <w:lastRenderedPageBreak/>
        <w:t>зростання частки неплатоспроможних позичальників із постраждалих від COVID-19 секторів економіки, що може спровокувати зростання частки непрацюючих кредитів у кредитному портфелі банку;</w:t>
      </w:r>
    </w:p>
    <w:p w:rsidR="00357C2B" w:rsidRPr="00F15F35" w:rsidRDefault="0062688C" w:rsidP="00357C2B">
      <w:pPr>
        <w:pStyle w:val="a4"/>
        <w:numPr>
          <w:ilvl w:val="0"/>
          <w:numId w:val="2"/>
        </w:numPr>
        <w:tabs>
          <w:tab w:val="left" w:pos="709"/>
        </w:tabs>
        <w:ind w:left="0" w:firstLine="284"/>
      </w:pPr>
      <w:r w:rsidRPr="00F15F35">
        <w:t>падіння довіри до банків через негативні інфляційні та</w:t>
      </w:r>
      <w:r w:rsidR="00357C2B" w:rsidRPr="00F15F35">
        <w:t xml:space="preserve"> курсові очікування клієнтів,</w:t>
      </w:r>
      <w:r w:rsidRPr="00F15F35">
        <w:t xml:space="preserve"> значне за обсягами вилучення вкладів «до запитання»;</w:t>
      </w:r>
    </w:p>
    <w:p w:rsidR="00357C2B" w:rsidRPr="00F15F35" w:rsidRDefault="0062688C" w:rsidP="00357C2B">
      <w:pPr>
        <w:pStyle w:val="a4"/>
        <w:numPr>
          <w:ilvl w:val="0"/>
          <w:numId w:val="2"/>
        </w:numPr>
        <w:tabs>
          <w:tab w:val="left" w:pos="709"/>
        </w:tabs>
        <w:ind w:left="0" w:firstLine="284"/>
      </w:pPr>
      <w:r w:rsidRPr="00F15F35">
        <w:t>скорочення термі</w:t>
      </w:r>
      <w:r w:rsidR="00357C2B" w:rsidRPr="00F15F35">
        <w:t xml:space="preserve">нів активно-пасивних операцій, перш за все </w:t>
      </w:r>
      <w:r w:rsidRPr="00F15F35">
        <w:t>депозитів, що негативно впливатиме на рівень ліквідності банківської системи та унеможливлюватиме надання довгос</w:t>
      </w:r>
      <w:r w:rsidR="00357C2B" w:rsidRPr="00F15F35">
        <w:t>т</w:t>
      </w:r>
      <w:r w:rsidRPr="00F15F35">
        <w:t>рокових кредитів на інвестиційні цілі;</w:t>
      </w:r>
    </w:p>
    <w:p w:rsidR="005947AC" w:rsidRPr="00F15F35" w:rsidRDefault="0062688C" w:rsidP="00357C2B">
      <w:pPr>
        <w:pStyle w:val="a4"/>
        <w:numPr>
          <w:ilvl w:val="0"/>
          <w:numId w:val="2"/>
        </w:numPr>
        <w:tabs>
          <w:tab w:val="left" w:pos="709"/>
        </w:tabs>
        <w:ind w:left="0" w:firstLine="284"/>
      </w:pPr>
      <w:r w:rsidRPr="00F15F35">
        <w:t>зростання рівня доларизації банківських вкладів, що знижуватиме фінансову стійкість банків на тлі можливої девальвації гривні;</w:t>
      </w:r>
    </w:p>
    <w:p w:rsidR="005947AC" w:rsidRPr="00F15F35" w:rsidRDefault="0062688C" w:rsidP="00357C2B">
      <w:pPr>
        <w:pStyle w:val="a4"/>
        <w:numPr>
          <w:ilvl w:val="0"/>
          <w:numId w:val="2"/>
        </w:numPr>
        <w:tabs>
          <w:tab w:val="left" w:pos="709"/>
        </w:tabs>
        <w:ind w:left="0" w:firstLine="284"/>
      </w:pPr>
      <w:r w:rsidRPr="00F15F35">
        <w:t>впровадження вимушених «кредитних канікул», що суттєво звузить дохідну базу банківської системи;</w:t>
      </w:r>
    </w:p>
    <w:p w:rsidR="0062688C" w:rsidRPr="00F15F35" w:rsidRDefault="0062688C" w:rsidP="00357C2B">
      <w:pPr>
        <w:pStyle w:val="a4"/>
        <w:numPr>
          <w:ilvl w:val="0"/>
          <w:numId w:val="2"/>
        </w:numPr>
        <w:tabs>
          <w:tab w:val="left" w:pos="709"/>
        </w:tabs>
        <w:ind w:left="0" w:firstLine="284"/>
      </w:pPr>
      <w:r w:rsidRPr="00F15F35">
        <w:t>необхідність впровадження спеціалізованих кредитних програм для компенсації ризиків для вітчизняного бізнесу (тобто зменшення доходів від «стандартного» кредитування) [11].</w:t>
      </w:r>
    </w:p>
    <w:p w:rsidR="0062688C" w:rsidRPr="00F15F35" w:rsidRDefault="0062688C" w:rsidP="00F113F3">
      <w:pPr>
        <w:ind w:firstLine="709"/>
      </w:pPr>
      <w:r w:rsidRPr="00F15F35">
        <w:t xml:space="preserve">І.В </w:t>
      </w:r>
      <w:proofErr w:type="spellStart"/>
      <w:r w:rsidRPr="00F15F35">
        <w:t>Кривов</w:t>
      </w:r>
      <w:r w:rsidR="00F113F3" w:rsidRPr="00F15F35">
        <w:t>’</w:t>
      </w:r>
      <w:r w:rsidR="005947AC" w:rsidRPr="00F15F35">
        <w:t>язю</w:t>
      </w:r>
      <w:r w:rsidRPr="00F15F35">
        <w:t>к</w:t>
      </w:r>
      <w:proofErr w:type="spellEnd"/>
      <w:r w:rsidRPr="00F15F35">
        <w:t xml:space="preserve"> [</w:t>
      </w:r>
      <w:r w:rsidR="005947AC" w:rsidRPr="00F15F35">
        <w:t>12, с. 146–</w:t>
      </w:r>
      <w:r w:rsidRPr="00F15F35">
        <w:t>153] досліджує вплив поширення COVID-19 на динаміку обсягів кредитування бізнесу та</w:t>
      </w:r>
      <w:r w:rsidR="005947AC" w:rsidRPr="00F15F35">
        <w:t xml:space="preserve"> говорить про</w:t>
      </w:r>
      <w:r w:rsidRPr="00F15F35">
        <w:t xml:space="preserve"> послаблення банківської системи </w:t>
      </w:r>
      <w:r w:rsidR="005947AC" w:rsidRPr="00F15F35">
        <w:t>внаслідок пандемічної кризи,</w:t>
      </w:r>
      <w:r w:rsidRPr="00F15F35">
        <w:t xml:space="preserve"> </w:t>
      </w:r>
      <w:r w:rsidR="005947AC" w:rsidRPr="00F15F35">
        <w:t>результатом чого є</w:t>
      </w:r>
      <w:r w:rsidRPr="00F15F35">
        <w:t xml:space="preserve"> поглиблення фінансово-кредитної кризи в Україні. Про багатоаспектні проблеми функціонування банків внаслідок COVID-19 пише Ж.М. Довгань [</w:t>
      </w:r>
      <w:r w:rsidR="005947AC" w:rsidRPr="00F15F35">
        <w:t>13, с. 119–</w:t>
      </w:r>
      <w:r w:rsidRPr="00F15F35">
        <w:t>124]. Зокрема</w:t>
      </w:r>
      <w:r w:rsidR="005947AC" w:rsidRPr="00F15F35">
        <w:t>,</w:t>
      </w:r>
      <w:r w:rsidRPr="00F15F35">
        <w:t xml:space="preserve"> автор вважає, що</w:t>
      </w:r>
      <w:r w:rsidR="005947AC" w:rsidRPr="00F15F35">
        <w:t xml:space="preserve"> позичальники й</w:t>
      </w:r>
      <w:r w:rsidRPr="00F15F35">
        <w:t xml:space="preserve"> підприємства зіштовхуються з</w:t>
      </w:r>
      <w:r w:rsidR="005947AC" w:rsidRPr="00F15F35">
        <w:t>і</w:t>
      </w:r>
      <w:r w:rsidRPr="00F15F35">
        <w:t xml:space="preserve"> втратою робочих місць, сповільненням продажів і зниженням прибутку, клієнти банків перманентно шукають фінансову допомогу, а перехід на дистанційне обслуговування матиме довгострокові наслідки для банківської операційної моделі.</w:t>
      </w:r>
      <w:r w:rsidR="005947AC" w:rsidRPr="00F15F35">
        <w:t xml:space="preserve"> Саме тому банкам необхідно в</w:t>
      </w:r>
      <w:r w:rsidRPr="00F15F35">
        <w:t>досконалити</w:t>
      </w:r>
      <w:r w:rsidR="005947AC" w:rsidRPr="00F15F35">
        <w:t xml:space="preserve"> наявн</w:t>
      </w:r>
      <w:r w:rsidRPr="00F15F35">
        <w:t>і моделі оцінювання кредитного ризику, ввести додаткові попереджувальні сигнали, що характеризують вразливість позичальників до наслідків COVID-19, застосовувати увесь спектр цифрових можлив</w:t>
      </w:r>
      <w:r w:rsidR="005947AC" w:rsidRPr="00F15F35">
        <w:t>остей для підвищення залучення</w:t>
      </w:r>
      <w:r w:rsidRPr="00F15F35">
        <w:t xml:space="preserve"> клієнтів,</w:t>
      </w:r>
      <w:r w:rsidR="005947AC" w:rsidRPr="00F15F35">
        <w:t xml:space="preserve"> впроваджувати у</w:t>
      </w:r>
      <w:r w:rsidRPr="00F15F35">
        <w:t xml:space="preserve"> свою діяльність концепції робочого світу 4.0, які передбачають розвиток </w:t>
      </w:r>
      <w:r w:rsidR="005947AC" w:rsidRPr="00F15F35">
        <w:t>якісного менеджменту, що</w:t>
      </w:r>
      <w:r w:rsidRPr="00F15F35">
        <w:t xml:space="preserve"> включає взаємодію зі своїми </w:t>
      </w:r>
      <w:r w:rsidRPr="00F15F35">
        <w:lastRenderedPageBreak/>
        <w:t>працівниками та створення правил для віртуального спілкування [</w:t>
      </w:r>
      <w:r w:rsidR="005947AC" w:rsidRPr="00F15F35">
        <w:t>13, с. 119–</w:t>
      </w:r>
      <w:r w:rsidRPr="00F15F35">
        <w:t>124].</w:t>
      </w:r>
    </w:p>
    <w:p w:rsidR="0062688C" w:rsidRPr="00F15F35" w:rsidRDefault="0062688C" w:rsidP="00F113F3">
      <w:pPr>
        <w:ind w:firstLine="709"/>
      </w:pPr>
      <w:r w:rsidRPr="00F15F35">
        <w:t xml:space="preserve">П. </w:t>
      </w:r>
      <w:proofErr w:type="spellStart"/>
      <w:r w:rsidRPr="00F15F35">
        <w:t>Порретта</w:t>
      </w:r>
      <w:proofErr w:type="spellEnd"/>
      <w:r w:rsidRPr="00F15F35">
        <w:t xml:space="preserve"> та А. </w:t>
      </w:r>
      <w:proofErr w:type="spellStart"/>
      <w:r w:rsidRPr="00F15F35">
        <w:t>Бенассі</w:t>
      </w:r>
      <w:proofErr w:type="spellEnd"/>
      <w:r w:rsidRPr="00F15F35">
        <w:t xml:space="preserve"> [</w:t>
      </w:r>
      <w:r w:rsidR="005947AC" w:rsidRPr="00F15F35">
        <w:t>14, с. 33–</w:t>
      </w:r>
      <w:r w:rsidRPr="00F15F35">
        <w:t>48] вважають, що спалах COVID-19 та й</w:t>
      </w:r>
      <w:r w:rsidR="005947AC" w:rsidRPr="00F15F35">
        <w:t>ого глобальне поширення створили</w:t>
      </w:r>
      <w:r w:rsidRPr="00F15F35">
        <w:t xml:space="preserve"> значні негайні виклики для суспільства та ризики для економічних перспектив, в тому числі для банківської системи. Також </w:t>
      </w:r>
      <w:r w:rsidR="005947AC" w:rsidRPr="00F15F35">
        <w:t xml:space="preserve">вони </w:t>
      </w:r>
      <w:r w:rsidRPr="00F15F35">
        <w:t>згадують</w:t>
      </w:r>
      <w:r w:rsidR="005947AC" w:rsidRPr="00F15F35">
        <w:t xml:space="preserve"> про те, що органи влади</w:t>
      </w:r>
      <w:r w:rsidRPr="00F15F35">
        <w:t xml:space="preserve"> спі</w:t>
      </w:r>
      <w:r w:rsidR="005947AC" w:rsidRPr="00F15F35">
        <w:t>впрацюють з банками, надаючи</w:t>
      </w:r>
      <w:r w:rsidRPr="00F15F35">
        <w:t xml:space="preserve"> підтримку домогосподарств</w:t>
      </w:r>
      <w:r w:rsidR="005947AC" w:rsidRPr="00F15F35">
        <w:t>ам та корпоративному</w:t>
      </w:r>
      <w:r w:rsidRPr="00F15F35">
        <w:t xml:space="preserve"> сектору, зокрема </w:t>
      </w:r>
      <w:r w:rsidR="005947AC" w:rsidRPr="00F15F35">
        <w:t>малим</w:t>
      </w:r>
      <w:r w:rsidRPr="00F15F35">
        <w:t xml:space="preserve"> та се</w:t>
      </w:r>
      <w:r w:rsidR="005947AC" w:rsidRPr="00F15F35">
        <w:t>реднім</w:t>
      </w:r>
      <w:r w:rsidRPr="00F15F35">
        <w:t xml:space="preserve"> підприємств</w:t>
      </w:r>
      <w:r w:rsidR="005947AC" w:rsidRPr="00F15F35">
        <w:t xml:space="preserve">ам. Д. </w:t>
      </w:r>
      <w:proofErr w:type="spellStart"/>
      <w:r w:rsidR="005947AC" w:rsidRPr="00F15F35">
        <w:t>Тересієне</w:t>
      </w:r>
      <w:proofErr w:type="spellEnd"/>
      <w:r w:rsidR="005947AC" w:rsidRPr="00F15F35">
        <w:t>, Е.</w:t>
      </w:r>
      <w:r w:rsidRPr="00F15F35">
        <w:t xml:space="preserve">Г. </w:t>
      </w:r>
      <w:proofErr w:type="spellStart"/>
      <w:r w:rsidRPr="00F15F35">
        <w:t>Келіуотит-Станіунієн</w:t>
      </w:r>
      <w:proofErr w:type="spellEnd"/>
      <w:r w:rsidRPr="00F15F35">
        <w:t xml:space="preserve"> та Р. </w:t>
      </w:r>
      <w:proofErr w:type="spellStart"/>
      <w:r w:rsidRPr="00F15F35">
        <w:t>Канапікієне</w:t>
      </w:r>
      <w:proofErr w:type="spellEnd"/>
      <w:r w:rsidRPr="00F15F35">
        <w:t xml:space="preserve"> [15] досліджують вплив поширення пандемії COVID-19 на банківський сектор, зокрема на показники кредитного ризику, динаміку обсягів кредиту</w:t>
      </w:r>
      <w:r w:rsidR="005947AC" w:rsidRPr="00F15F35">
        <w:t>вання та фінансової надійності.</w:t>
      </w:r>
    </w:p>
    <w:p w:rsidR="0062688C" w:rsidRPr="00F15F35" w:rsidRDefault="002747C6" w:rsidP="00F113F3">
      <w:pPr>
        <w:ind w:firstLine="709"/>
      </w:pPr>
      <w:r>
        <w:rPr>
          <w:b/>
        </w:rPr>
        <w:t xml:space="preserve">Виділення не вирішених раніше частин загальної проблеми. </w:t>
      </w:r>
      <w:r w:rsidR="0062688C" w:rsidRPr="00F15F35">
        <w:t>Оскіль</w:t>
      </w:r>
      <w:r w:rsidR="005947AC" w:rsidRPr="00F15F35">
        <w:t>ки однозначного трактування</w:t>
      </w:r>
      <w:r w:rsidR="0062688C" w:rsidRPr="00F15F35">
        <w:t xml:space="preserve"> вплив</w:t>
      </w:r>
      <w:r w:rsidR="005947AC" w:rsidRPr="00F15F35">
        <w:t>у</w:t>
      </w:r>
      <w:r w:rsidR="0062688C" w:rsidRPr="00F15F35">
        <w:t xml:space="preserve"> пандемії COVID-19 на діяльність банків немає, автори виділяють як позитивні, так і негативні наслідки пандемії для банків, доцільно більш детально дослідити ці питання, які набувають особливої актуальності внаслідок затяжного характе</w:t>
      </w:r>
      <w:r w:rsidR="005947AC" w:rsidRPr="00F15F35">
        <w:t>ру кризи та продовження запровадження</w:t>
      </w:r>
      <w:r w:rsidR="0062688C" w:rsidRPr="00F15F35">
        <w:t xml:space="preserve"> карантинних заходів на рівні країни.</w:t>
      </w:r>
    </w:p>
    <w:p w:rsidR="0062688C" w:rsidRPr="00F15F35" w:rsidRDefault="0062688C" w:rsidP="00F113F3">
      <w:pPr>
        <w:ind w:firstLine="709"/>
      </w:pPr>
      <w:r w:rsidRPr="00F15F35">
        <w:t>Формулювання цілей статті</w:t>
      </w:r>
      <w:r w:rsidR="005947AC" w:rsidRPr="00F15F35">
        <w:t xml:space="preserve"> </w:t>
      </w:r>
      <w:r w:rsidR="005947AC" w:rsidRPr="00F15F35">
        <w:rPr>
          <w:b/>
        </w:rPr>
        <w:t>(постановка завдання)</w:t>
      </w:r>
      <w:r w:rsidRPr="00F15F35">
        <w:t>.</w:t>
      </w:r>
      <w:r w:rsidRPr="00F15F35">
        <w:rPr>
          <w:b/>
        </w:rPr>
        <w:t xml:space="preserve"> </w:t>
      </w:r>
      <w:r w:rsidRPr="00F15F35">
        <w:t>Метою статті</w:t>
      </w:r>
      <w:r w:rsidRPr="00F15F35">
        <w:rPr>
          <w:b/>
        </w:rPr>
        <w:t xml:space="preserve"> </w:t>
      </w:r>
      <w:r w:rsidRPr="00F15F35">
        <w:t>є дослідження динаміки основних показників діяльності україн</w:t>
      </w:r>
      <w:r w:rsidR="005947AC" w:rsidRPr="00F15F35">
        <w:t>ських банків у докризовий (2017–2019 рр.) та</w:t>
      </w:r>
      <w:r w:rsidRPr="00F15F35">
        <w:t xml:space="preserve"> кризовий (2020 р.) </w:t>
      </w:r>
      <w:r w:rsidR="005947AC" w:rsidRPr="00F15F35">
        <w:t>періоди</w:t>
      </w:r>
      <w:r w:rsidRPr="00F15F35">
        <w:t>. Осно</w:t>
      </w:r>
      <w:r w:rsidR="005947AC" w:rsidRPr="00F15F35">
        <w:t>вними завданнями дослідження є</w:t>
      </w:r>
      <w:r w:rsidRPr="00F15F35">
        <w:t xml:space="preserve"> виявлення спільних та відмінних тенденцій у динаміці показників українських банків у різні часові проміжки; формування узагальнюючих висновків про рівень та ступінь впливу пандемічної кризи COVID-19 на діяльність українських банків.</w:t>
      </w:r>
    </w:p>
    <w:p w:rsidR="0062688C" w:rsidRPr="00F15F35" w:rsidRDefault="0062688C" w:rsidP="00F113F3">
      <w:pPr>
        <w:ind w:firstLine="709"/>
      </w:pPr>
      <w:r w:rsidRPr="00F15F35">
        <w:rPr>
          <w:b/>
        </w:rPr>
        <w:t>Виклад основного матеріалу</w:t>
      </w:r>
      <w:r w:rsidR="005947AC" w:rsidRPr="00F15F35">
        <w:rPr>
          <w:b/>
        </w:rPr>
        <w:t xml:space="preserve"> дослідження</w:t>
      </w:r>
      <w:r w:rsidRPr="00F15F35">
        <w:rPr>
          <w:b/>
        </w:rPr>
        <w:t>.</w:t>
      </w:r>
      <w:r w:rsidRPr="00F15F35">
        <w:t xml:space="preserve"> Усі країни світу зіткнулися з пандемією COVID-19 і </w:t>
      </w:r>
      <w:r w:rsidR="005947AC" w:rsidRPr="00F15F35">
        <w:t>мали</w:t>
      </w:r>
      <w:r w:rsidRPr="00F15F35">
        <w:t xml:space="preserve"> вжити заходів для зниження економічного шок</w:t>
      </w:r>
      <w:r w:rsidR="005947AC" w:rsidRPr="00F15F35">
        <w:t>у, який</w:t>
      </w:r>
      <w:r w:rsidRPr="00F15F35">
        <w:t xml:space="preserve"> </w:t>
      </w:r>
      <w:r w:rsidR="005947AC" w:rsidRPr="00F15F35">
        <w:t xml:space="preserve">спровокувала </w:t>
      </w:r>
      <w:r w:rsidRPr="00F15F35">
        <w:t>ця пандемія. Результати аналізування наукової літератури показали, що поширення пандемії COVID-19 має статистично знач</w:t>
      </w:r>
      <w:r w:rsidR="005947AC" w:rsidRPr="00F15F35">
        <w:t>ний</w:t>
      </w:r>
      <w:r w:rsidRPr="00F15F35">
        <w:t xml:space="preserve"> негативний вплив на кредитний ризик банківського сектору, прибутковість та платоспроможність банків. Також було виявлено, що банки мають достатньо </w:t>
      </w:r>
      <w:r w:rsidRPr="00F15F35">
        <w:lastRenderedPageBreak/>
        <w:t>коштів для підтримки сталої економіки [1], проте не хочуть брати на себе кредитний ризик.</w:t>
      </w:r>
    </w:p>
    <w:p w:rsidR="0062688C" w:rsidRPr="00F15F35" w:rsidRDefault="0062688C" w:rsidP="00F113F3">
      <w:pPr>
        <w:ind w:firstLine="709"/>
      </w:pPr>
      <w:r w:rsidRPr="00F15F35">
        <w:t>Оскільки «чистка» банківської системи України розпочалася ще у 2015 р., то до моменту наста</w:t>
      </w:r>
      <w:r w:rsidR="005947AC" w:rsidRPr="00F15F35">
        <w:t>ння кризи 2020 р. їхня кількість</w:t>
      </w:r>
      <w:r w:rsidRPr="00F15F35">
        <w:t xml:space="preserve"> була оптимізована на рівні 73 установ саме завдяки виведенню (са</w:t>
      </w:r>
      <w:r w:rsidR="005947AC" w:rsidRPr="00F15F35">
        <w:t>мостійному за ініціативою банку чи примусовому</w:t>
      </w:r>
      <w:r w:rsidRPr="00F15F35">
        <w:t xml:space="preserve"> за ініціативою НБУ) неплатоспроможних учасників з ринку. З</w:t>
      </w:r>
      <w:r w:rsidR="005947AC" w:rsidRPr="00F15F35">
        <w:t>гідно</w:t>
      </w:r>
      <w:r w:rsidRPr="00F15F35">
        <w:t xml:space="preserve"> </w:t>
      </w:r>
      <w:r w:rsidR="005947AC" w:rsidRPr="00F15F35">
        <w:t>з цією позицією</w:t>
      </w:r>
      <w:r w:rsidRPr="00F15F35">
        <w:t>, банківська система Україна увійшла в пандемічну кризу у стабільному та стійкому</w:t>
      </w:r>
      <w:r w:rsidR="005947AC" w:rsidRPr="00F15F35">
        <w:t xml:space="preserve"> стані, а всі її учасники були спроможними</w:t>
      </w:r>
      <w:r w:rsidRPr="00F15F35">
        <w:t xml:space="preserve"> швидко реагувати на зміни навколишнього середовища. Тота</w:t>
      </w:r>
      <w:r w:rsidR="005947AC" w:rsidRPr="00F15F35">
        <w:t xml:space="preserve">льна </w:t>
      </w:r>
      <w:proofErr w:type="spellStart"/>
      <w:r w:rsidR="005947AC" w:rsidRPr="00F15F35">
        <w:t>діджиталізація</w:t>
      </w:r>
      <w:proofErr w:type="spellEnd"/>
      <w:r w:rsidR="005947AC" w:rsidRPr="00F15F35">
        <w:t xml:space="preserve"> не оминула</w:t>
      </w:r>
      <w:r w:rsidRPr="00F15F35">
        <w:t xml:space="preserve"> банкі</w:t>
      </w:r>
      <w:r w:rsidR="005947AC" w:rsidRPr="00F15F35">
        <w:t>вський сектор, ставши причиною в</w:t>
      </w:r>
      <w:r w:rsidRPr="00F15F35">
        <w:t>доскона</w:t>
      </w:r>
      <w:r w:rsidR="005947AC" w:rsidRPr="00F15F35">
        <w:t xml:space="preserve">лення мобільних додатків та </w:t>
      </w:r>
      <w:proofErr w:type="spellStart"/>
      <w:r w:rsidR="005947AC" w:rsidRPr="00F15F35">
        <w:t>веб</w:t>
      </w:r>
      <w:r w:rsidRPr="00F15F35">
        <w:t>сайтів</w:t>
      </w:r>
      <w:proofErr w:type="spellEnd"/>
      <w:r w:rsidRPr="00F15F35">
        <w:t xml:space="preserve"> задля розширення асортименту послуг, якими клієнт може скористатися дистанційно та самостійно, </w:t>
      </w:r>
      <w:r w:rsidR="005947AC" w:rsidRPr="00F15F35">
        <w:t xml:space="preserve">тобто </w:t>
      </w:r>
      <w:r w:rsidRPr="00F15F35">
        <w:t>без відвідування філії чи ві</w:t>
      </w:r>
      <w:r w:rsidR="005947AC" w:rsidRPr="00F15F35">
        <w:t>дділення банку особисто. З огляду</w:t>
      </w:r>
      <w:r w:rsidRPr="00F15F35">
        <w:t xml:space="preserve"> на практично незмінну кількість банків, що функц</w:t>
      </w:r>
      <w:r w:rsidR="005947AC" w:rsidRPr="00F15F35">
        <w:t>іонують в Україні впродовж 2020–</w:t>
      </w:r>
      <w:r w:rsidRPr="00F15F35">
        <w:t>2021 рр., COVID-19 не став прич</w:t>
      </w:r>
      <w:r w:rsidR="005947AC" w:rsidRPr="00F15F35">
        <w:t>иною їхньої</w:t>
      </w:r>
      <w:r w:rsidRPr="00F15F35">
        <w:t xml:space="preserve"> відмови від господарювання та виходу з ринку.</w:t>
      </w:r>
    </w:p>
    <w:p w:rsidR="0062688C" w:rsidRPr="00F15F35" w:rsidRDefault="0062688C" w:rsidP="00F113F3">
      <w:pPr>
        <w:ind w:firstLine="709"/>
      </w:pPr>
      <w:r w:rsidRPr="00F15F35">
        <w:t>Задля приведення значе</w:t>
      </w:r>
      <w:r w:rsidR="005947AC" w:rsidRPr="00F15F35">
        <w:t>нь показників до єдиного виміру</w:t>
      </w:r>
      <w:r w:rsidRPr="00F15F35">
        <w:t xml:space="preserve"> було прийнято рішення аналізувати динаміку показників у розрахунку на 1 банк, адже кількість банків за аналі</w:t>
      </w:r>
      <w:r w:rsidR="005947AC" w:rsidRPr="00F15F35">
        <w:t>зований період суттєво змінилася</w:t>
      </w:r>
      <w:r w:rsidRPr="00F15F35">
        <w:t>.</w:t>
      </w:r>
    </w:p>
    <w:p w:rsidR="0062688C" w:rsidRPr="00F15F35" w:rsidRDefault="0062688C" w:rsidP="00F113F3">
      <w:pPr>
        <w:ind w:firstLine="709"/>
      </w:pPr>
      <w:r w:rsidRPr="00F15F35">
        <w:t>Темпи приросту показників звіту про фінансовий стан у розрахунк</w:t>
      </w:r>
      <w:r w:rsidR="005947AC" w:rsidRPr="00F15F35">
        <w:t>у на 1 банк наведено в табл. 1.</w:t>
      </w:r>
    </w:p>
    <w:p w:rsidR="005947AC" w:rsidRPr="00F15F35" w:rsidRDefault="005947AC" w:rsidP="00F113F3">
      <w:pPr>
        <w:ind w:firstLine="709"/>
      </w:pPr>
    </w:p>
    <w:p w:rsidR="0062688C" w:rsidRPr="00F15F35" w:rsidRDefault="0062688C" w:rsidP="00F113F3">
      <w:pPr>
        <w:ind w:firstLine="709"/>
        <w:jc w:val="right"/>
        <w:rPr>
          <w:rFonts w:cs="Times New Roman"/>
        </w:rPr>
      </w:pPr>
      <w:r w:rsidRPr="00F15F35">
        <w:rPr>
          <w:rFonts w:cs="Times New Roman"/>
        </w:rPr>
        <w:t>Таблиця 1</w:t>
      </w:r>
    </w:p>
    <w:p w:rsidR="0062688C" w:rsidRPr="00F15F35" w:rsidRDefault="0062688C" w:rsidP="00F113F3">
      <w:pPr>
        <w:ind w:firstLine="709"/>
        <w:jc w:val="center"/>
        <w:rPr>
          <w:rFonts w:cs="Times New Roman"/>
          <w:b/>
        </w:rPr>
      </w:pPr>
      <w:r w:rsidRPr="00F15F35">
        <w:rPr>
          <w:rFonts w:cs="Times New Roman"/>
          <w:b/>
        </w:rPr>
        <w:t>Темпи приросту показників звіту про фінансовий стан українських банків</w:t>
      </w:r>
      <w:r w:rsidR="005947AC" w:rsidRPr="00F15F35">
        <w:rPr>
          <w:rFonts w:cs="Times New Roman"/>
          <w:b/>
        </w:rPr>
        <w:t xml:space="preserve"> у розрахунку на 1 банк за 2017–</w:t>
      </w:r>
      <w:r w:rsidRPr="00F15F35">
        <w:rPr>
          <w:rFonts w:cs="Times New Roman"/>
          <w:b/>
        </w:rPr>
        <w:t>2020 рр.</w:t>
      </w:r>
    </w:p>
    <w:tbl>
      <w:tblPr>
        <w:tblStyle w:val="a5"/>
        <w:tblW w:w="0" w:type="auto"/>
        <w:tblLayout w:type="fixed"/>
        <w:tblCellMar>
          <w:left w:w="28" w:type="dxa"/>
          <w:right w:w="28" w:type="dxa"/>
        </w:tblCellMar>
        <w:tblLook w:val="04A0" w:firstRow="1" w:lastRow="0" w:firstColumn="1" w:lastColumn="0" w:noHBand="0" w:noVBand="1"/>
      </w:tblPr>
      <w:tblGrid>
        <w:gridCol w:w="5240"/>
        <w:gridCol w:w="1097"/>
        <w:gridCol w:w="1097"/>
        <w:gridCol w:w="1097"/>
        <w:gridCol w:w="1098"/>
      </w:tblGrid>
      <w:tr w:rsidR="0062688C" w:rsidRPr="00F15F35" w:rsidTr="00B868DB">
        <w:trPr>
          <w:trHeight w:val="288"/>
          <w:tblHeader/>
        </w:trPr>
        <w:tc>
          <w:tcPr>
            <w:tcW w:w="5240" w:type="dxa"/>
            <w:vMerge w:val="restart"/>
            <w:noWrap/>
            <w:vAlign w:val="center"/>
          </w:tcPr>
          <w:p w:rsidR="0062688C" w:rsidRPr="00F15F35" w:rsidRDefault="0062688C" w:rsidP="005947AC">
            <w:pPr>
              <w:pStyle w:val="a6"/>
              <w:jc w:val="center"/>
              <w:rPr>
                <w:b/>
                <w:color w:val="auto"/>
                <w:szCs w:val="24"/>
              </w:rPr>
            </w:pPr>
            <w:r w:rsidRPr="00F15F35">
              <w:rPr>
                <w:b/>
                <w:color w:val="auto"/>
                <w:szCs w:val="24"/>
              </w:rPr>
              <w:t>Показники звіту про фінансовий стан</w:t>
            </w:r>
          </w:p>
        </w:tc>
        <w:tc>
          <w:tcPr>
            <w:tcW w:w="4389" w:type="dxa"/>
            <w:gridSpan w:val="4"/>
            <w:noWrap/>
            <w:vAlign w:val="center"/>
          </w:tcPr>
          <w:p w:rsidR="0062688C" w:rsidRPr="00F15F35" w:rsidRDefault="0062688C" w:rsidP="005947AC">
            <w:pPr>
              <w:pStyle w:val="a6"/>
              <w:jc w:val="center"/>
              <w:rPr>
                <w:rFonts w:cs="Times New Roman"/>
                <w:b/>
                <w:color w:val="auto"/>
                <w:szCs w:val="24"/>
              </w:rPr>
            </w:pPr>
            <w:r w:rsidRPr="00F15F35">
              <w:rPr>
                <w:rFonts w:cs="Times New Roman"/>
                <w:b/>
                <w:color w:val="auto"/>
                <w:szCs w:val="24"/>
              </w:rPr>
              <w:t>Темп приросту, %</w:t>
            </w:r>
          </w:p>
        </w:tc>
      </w:tr>
      <w:tr w:rsidR="0062688C" w:rsidRPr="00F15F35" w:rsidTr="00B868DB">
        <w:trPr>
          <w:trHeight w:val="288"/>
          <w:tblHeader/>
        </w:trPr>
        <w:tc>
          <w:tcPr>
            <w:tcW w:w="5240" w:type="dxa"/>
            <w:vMerge/>
            <w:noWrap/>
          </w:tcPr>
          <w:p w:rsidR="0062688C" w:rsidRPr="00F15F35" w:rsidRDefault="0062688C" w:rsidP="005947AC">
            <w:pPr>
              <w:pStyle w:val="a6"/>
              <w:jc w:val="center"/>
              <w:rPr>
                <w:b/>
                <w:color w:val="auto"/>
              </w:rPr>
            </w:pPr>
          </w:p>
        </w:tc>
        <w:tc>
          <w:tcPr>
            <w:tcW w:w="1097" w:type="dxa"/>
            <w:noWrap/>
            <w:hideMark/>
          </w:tcPr>
          <w:p w:rsidR="0062688C" w:rsidRPr="00F15F35" w:rsidRDefault="0062688C" w:rsidP="005947AC">
            <w:pPr>
              <w:pStyle w:val="a6"/>
              <w:jc w:val="center"/>
              <w:rPr>
                <w:b/>
                <w:color w:val="auto"/>
              </w:rPr>
            </w:pPr>
            <w:r w:rsidRPr="00F15F35">
              <w:rPr>
                <w:b/>
                <w:color w:val="auto"/>
              </w:rPr>
              <w:t>2017 р.</w:t>
            </w:r>
          </w:p>
        </w:tc>
        <w:tc>
          <w:tcPr>
            <w:tcW w:w="1097" w:type="dxa"/>
            <w:noWrap/>
            <w:hideMark/>
          </w:tcPr>
          <w:p w:rsidR="0062688C" w:rsidRPr="00F15F35" w:rsidRDefault="0062688C" w:rsidP="005947AC">
            <w:pPr>
              <w:pStyle w:val="a6"/>
              <w:jc w:val="center"/>
              <w:rPr>
                <w:b/>
                <w:color w:val="auto"/>
              </w:rPr>
            </w:pPr>
            <w:r w:rsidRPr="00F15F35">
              <w:rPr>
                <w:b/>
                <w:color w:val="auto"/>
              </w:rPr>
              <w:t>2018 р.</w:t>
            </w:r>
          </w:p>
        </w:tc>
        <w:tc>
          <w:tcPr>
            <w:tcW w:w="1097" w:type="dxa"/>
            <w:noWrap/>
            <w:hideMark/>
          </w:tcPr>
          <w:p w:rsidR="0062688C" w:rsidRPr="00F15F35" w:rsidRDefault="0062688C" w:rsidP="005947AC">
            <w:pPr>
              <w:pStyle w:val="a6"/>
              <w:jc w:val="center"/>
              <w:rPr>
                <w:b/>
                <w:color w:val="auto"/>
              </w:rPr>
            </w:pPr>
            <w:r w:rsidRPr="00F15F35">
              <w:rPr>
                <w:b/>
                <w:color w:val="auto"/>
              </w:rPr>
              <w:t>2019</w:t>
            </w:r>
            <w:r w:rsidR="005947AC" w:rsidRPr="00F15F35">
              <w:rPr>
                <w:b/>
                <w:color w:val="auto"/>
              </w:rPr>
              <w:t xml:space="preserve"> </w:t>
            </w:r>
            <w:r w:rsidRPr="00F15F35">
              <w:rPr>
                <w:b/>
                <w:color w:val="auto"/>
              </w:rPr>
              <w:t>р.</w:t>
            </w:r>
          </w:p>
        </w:tc>
        <w:tc>
          <w:tcPr>
            <w:tcW w:w="1098" w:type="dxa"/>
            <w:noWrap/>
            <w:hideMark/>
          </w:tcPr>
          <w:p w:rsidR="0062688C" w:rsidRPr="00F15F35" w:rsidRDefault="0062688C" w:rsidP="005947AC">
            <w:pPr>
              <w:pStyle w:val="a6"/>
              <w:jc w:val="center"/>
              <w:rPr>
                <w:b/>
                <w:color w:val="auto"/>
              </w:rPr>
            </w:pPr>
            <w:r w:rsidRPr="00F15F35">
              <w:rPr>
                <w:b/>
                <w:color w:val="auto"/>
              </w:rPr>
              <w:t>2020 р.</w:t>
            </w:r>
          </w:p>
        </w:tc>
      </w:tr>
      <w:tr w:rsidR="0062688C" w:rsidRPr="00F15F35" w:rsidTr="00B868DB">
        <w:trPr>
          <w:trHeight w:val="288"/>
        </w:trPr>
        <w:tc>
          <w:tcPr>
            <w:tcW w:w="5240" w:type="dxa"/>
            <w:noWrap/>
          </w:tcPr>
          <w:p w:rsidR="0062688C" w:rsidRPr="00F15F35" w:rsidRDefault="0062688C" w:rsidP="005947AC">
            <w:pPr>
              <w:pStyle w:val="a6"/>
              <w:jc w:val="left"/>
              <w:rPr>
                <w:color w:val="auto"/>
              </w:rPr>
            </w:pPr>
            <w:r w:rsidRPr="00F15F35">
              <w:rPr>
                <w:color w:val="auto"/>
              </w:rPr>
              <w:t>АКТИВИ</w:t>
            </w:r>
          </w:p>
        </w:tc>
        <w:tc>
          <w:tcPr>
            <w:tcW w:w="1097" w:type="dxa"/>
            <w:noWrap/>
          </w:tcPr>
          <w:p w:rsidR="0062688C" w:rsidRPr="00F15F35" w:rsidRDefault="0062688C" w:rsidP="005947AC">
            <w:pPr>
              <w:pStyle w:val="a6"/>
              <w:jc w:val="left"/>
              <w:rPr>
                <w:color w:val="auto"/>
              </w:rPr>
            </w:pPr>
          </w:p>
        </w:tc>
        <w:tc>
          <w:tcPr>
            <w:tcW w:w="1097" w:type="dxa"/>
            <w:noWrap/>
          </w:tcPr>
          <w:p w:rsidR="0062688C" w:rsidRPr="00F15F35" w:rsidRDefault="0062688C" w:rsidP="005947AC">
            <w:pPr>
              <w:pStyle w:val="a6"/>
              <w:jc w:val="left"/>
              <w:rPr>
                <w:color w:val="auto"/>
              </w:rPr>
            </w:pPr>
          </w:p>
        </w:tc>
        <w:tc>
          <w:tcPr>
            <w:tcW w:w="1097" w:type="dxa"/>
            <w:noWrap/>
          </w:tcPr>
          <w:p w:rsidR="0062688C" w:rsidRPr="00F15F35" w:rsidRDefault="0062688C" w:rsidP="005947AC">
            <w:pPr>
              <w:pStyle w:val="a6"/>
              <w:jc w:val="left"/>
              <w:rPr>
                <w:color w:val="auto"/>
              </w:rPr>
            </w:pPr>
          </w:p>
        </w:tc>
        <w:tc>
          <w:tcPr>
            <w:tcW w:w="1098" w:type="dxa"/>
            <w:noWrap/>
          </w:tcPr>
          <w:p w:rsidR="0062688C" w:rsidRPr="00F15F35" w:rsidRDefault="0062688C" w:rsidP="005947AC">
            <w:pPr>
              <w:pStyle w:val="a6"/>
              <w:jc w:val="left"/>
              <w:rPr>
                <w:color w:val="auto"/>
              </w:rPr>
            </w:pP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Активи</w:t>
            </w:r>
          </w:p>
        </w:tc>
        <w:tc>
          <w:tcPr>
            <w:tcW w:w="1097" w:type="dxa"/>
            <w:noWrap/>
            <w:hideMark/>
          </w:tcPr>
          <w:p w:rsidR="0062688C" w:rsidRPr="00F15F35" w:rsidRDefault="0062688C" w:rsidP="005947AC">
            <w:pPr>
              <w:pStyle w:val="a6"/>
              <w:jc w:val="left"/>
              <w:rPr>
                <w:color w:val="auto"/>
              </w:rPr>
            </w:pPr>
            <w:r w:rsidRPr="00F15F35">
              <w:rPr>
                <w:color w:val="auto"/>
              </w:rPr>
              <w:t>24,30</w:t>
            </w:r>
          </w:p>
        </w:tc>
        <w:tc>
          <w:tcPr>
            <w:tcW w:w="1097" w:type="dxa"/>
            <w:noWrap/>
            <w:hideMark/>
          </w:tcPr>
          <w:p w:rsidR="0062688C" w:rsidRPr="00F15F35" w:rsidRDefault="0062688C" w:rsidP="005947AC">
            <w:pPr>
              <w:pStyle w:val="a6"/>
              <w:jc w:val="left"/>
              <w:rPr>
                <w:color w:val="auto"/>
              </w:rPr>
            </w:pPr>
            <w:r w:rsidRPr="00F15F35">
              <w:rPr>
                <w:color w:val="auto"/>
              </w:rPr>
              <w:t>8,56</w:t>
            </w:r>
          </w:p>
        </w:tc>
        <w:tc>
          <w:tcPr>
            <w:tcW w:w="1097" w:type="dxa"/>
            <w:noWrap/>
            <w:hideMark/>
          </w:tcPr>
          <w:p w:rsidR="0062688C" w:rsidRPr="00F15F35" w:rsidRDefault="0062688C" w:rsidP="005947AC">
            <w:pPr>
              <w:pStyle w:val="a6"/>
              <w:jc w:val="left"/>
              <w:rPr>
                <w:color w:val="auto"/>
              </w:rPr>
            </w:pPr>
            <w:r w:rsidRPr="00F15F35">
              <w:rPr>
                <w:color w:val="auto"/>
              </w:rPr>
              <w:t>12,75</w:t>
            </w:r>
          </w:p>
        </w:tc>
        <w:tc>
          <w:tcPr>
            <w:tcW w:w="1098" w:type="dxa"/>
            <w:noWrap/>
            <w:hideMark/>
          </w:tcPr>
          <w:p w:rsidR="0062688C" w:rsidRPr="00F15F35" w:rsidRDefault="0062688C" w:rsidP="005947AC">
            <w:pPr>
              <w:pStyle w:val="a6"/>
              <w:jc w:val="left"/>
              <w:rPr>
                <w:color w:val="auto"/>
              </w:rPr>
            </w:pPr>
            <w:r w:rsidRPr="00F15F35">
              <w:rPr>
                <w:color w:val="auto"/>
              </w:rPr>
              <w:t>25,41</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Активи в іноземній валюті</w:t>
            </w:r>
          </w:p>
        </w:tc>
        <w:tc>
          <w:tcPr>
            <w:tcW w:w="1097" w:type="dxa"/>
            <w:noWrap/>
            <w:hideMark/>
          </w:tcPr>
          <w:p w:rsidR="0062688C" w:rsidRPr="00F15F35" w:rsidRDefault="0062688C" w:rsidP="005947AC">
            <w:pPr>
              <w:pStyle w:val="a6"/>
              <w:jc w:val="left"/>
              <w:rPr>
                <w:color w:val="auto"/>
              </w:rPr>
            </w:pPr>
            <w:r w:rsidRPr="00F15F35">
              <w:rPr>
                <w:color w:val="auto"/>
              </w:rPr>
              <w:t>14,33</w:t>
            </w:r>
          </w:p>
        </w:tc>
        <w:tc>
          <w:tcPr>
            <w:tcW w:w="1097" w:type="dxa"/>
            <w:noWrap/>
            <w:hideMark/>
          </w:tcPr>
          <w:p w:rsidR="0062688C" w:rsidRPr="00F15F35" w:rsidRDefault="0062688C" w:rsidP="005947AC">
            <w:pPr>
              <w:pStyle w:val="a6"/>
              <w:jc w:val="left"/>
              <w:rPr>
                <w:color w:val="auto"/>
              </w:rPr>
            </w:pPr>
            <w:r w:rsidRPr="00F15F35">
              <w:rPr>
                <w:color w:val="auto"/>
              </w:rPr>
              <w:t>3,92</w:t>
            </w:r>
          </w:p>
        </w:tc>
        <w:tc>
          <w:tcPr>
            <w:tcW w:w="1097" w:type="dxa"/>
            <w:noWrap/>
            <w:hideMark/>
          </w:tcPr>
          <w:p w:rsidR="0062688C" w:rsidRPr="00F15F35" w:rsidRDefault="0062688C" w:rsidP="005947AC">
            <w:pPr>
              <w:pStyle w:val="a6"/>
              <w:jc w:val="left"/>
              <w:rPr>
                <w:color w:val="auto"/>
              </w:rPr>
            </w:pPr>
            <w:r w:rsidRPr="00F15F35">
              <w:rPr>
                <w:color w:val="auto"/>
              </w:rPr>
              <w:t>2,15</w:t>
            </w:r>
          </w:p>
        </w:tc>
        <w:tc>
          <w:tcPr>
            <w:tcW w:w="1098" w:type="dxa"/>
            <w:noWrap/>
            <w:hideMark/>
          </w:tcPr>
          <w:p w:rsidR="0062688C" w:rsidRPr="00F15F35" w:rsidRDefault="0062688C" w:rsidP="005947AC">
            <w:pPr>
              <w:pStyle w:val="a6"/>
              <w:jc w:val="left"/>
              <w:rPr>
                <w:color w:val="auto"/>
              </w:rPr>
            </w:pPr>
            <w:r w:rsidRPr="00F15F35">
              <w:rPr>
                <w:color w:val="auto"/>
              </w:rPr>
              <w:t>22,19</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Готівкові кошти</w:t>
            </w:r>
          </w:p>
        </w:tc>
        <w:tc>
          <w:tcPr>
            <w:tcW w:w="1097" w:type="dxa"/>
            <w:noWrap/>
            <w:hideMark/>
          </w:tcPr>
          <w:p w:rsidR="0062688C" w:rsidRPr="00F15F35" w:rsidRDefault="0062688C" w:rsidP="005947AC">
            <w:pPr>
              <w:pStyle w:val="a6"/>
              <w:jc w:val="left"/>
              <w:rPr>
                <w:color w:val="auto"/>
              </w:rPr>
            </w:pPr>
            <w:r w:rsidRPr="00F15F35">
              <w:rPr>
                <w:color w:val="auto"/>
              </w:rPr>
              <w:t>42,62</w:t>
            </w:r>
          </w:p>
        </w:tc>
        <w:tc>
          <w:tcPr>
            <w:tcW w:w="1097" w:type="dxa"/>
            <w:noWrap/>
            <w:hideMark/>
          </w:tcPr>
          <w:p w:rsidR="0062688C" w:rsidRPr="00F15F35" w:rsidRDefault="0062688C" w:rsidP="005947AC">
            <w:pPr>
              <w:pStyle w:val="a6"/>
              <w:jc w:val="left"/>
              <w:rPr>
                <w:color w:val="auto"/>
              </w:rPr>
            </w:pPr>
            <w:r w:rsidRPr="00F15F35">
              <w:rPr>
                <w:color w:val="auto"/>
              </w:rPr>
              <w:t>13,36</w:t>
            </w:r>
          </w:p>
        </w:tc>
        <w:tc>
          <w:tcPr>
            <w:tcW w:w="1097" w:type="dxa"/>
            <w:noWrap/>
            <w:hideMark/>
          </w:tcPr>
          <w:p w:rsidR="0062688C" w:rsidRPr="00F15F35" w:rsidRDefault="0062688C" w:rsidP="005947AC">
            <w:pPr>
              <w:pStyle w:val="a6"/>
              <w:jc w:val="left"/>
              <w:rPr>
                <w:color w:val="auto"/>
              </w:rPr>
            </w:pPr>
            <w:r w:rsidRPr="00F15F35">
              <w:rPr>
                <w:color w:val="auto"/>
              </w:rPr>
              <w:t>23,14</w:t>
            </w:r>
          </w:p>
        </w:tc>
        <w:tc>
          <w:tcPr>
            <w:tcW w:w="1098" w:type="dxa"/>
            <w:noWrap/>
            <w:hideMark/>
          </w:tcPr>
          <w:p w:rsidR="0062688C" w:rsidRPr="00F15F35" w:rsidRDefault="0062688C" w:rsidP="005947AC">
            <w:pPr>
              <w:pStyle w:val="a6"/>
              <w:jc w:val="left"/>
              <w:rPr>
                <w:color w:val="auto"/>
              </w:rPr>
            </w:pPr>
            <w:r w:rsidRPr="00F15F35">
              <w:rPr>
                <w:color w:val="auto"/>
              </w:rPr>
              <w:t>33,84</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Банківські метали</w:t>
            </w:r>
          </w:p>
        </w:tc>
        <w:tc>
          <w:tcPr>
            <w:tcW w:w="1097" w:type="dxa"/>
            <w:noWrap/>
            <w:hideMark/>
          </w:tcPr>
          <w:p w:rsidR="0062688C" w:rsidRPr="00F15F35" w:rsidRDefault="0062688C" w:rsidP="005947AC">
            <w:pPr>
              <w:pStyle w:val="a6"/>
              <w:jc w:val="left"/>
              <w:rPr>
                <w:color w:val="auto"/>
              </w:rPr>
            </w:pPr>
            <w:r w:rsidRPr="00F15F35">
              <w:rPr>
                <w:color w:val="auto"/>
              </w:rPr>
              <w:t>29,08</w:t>
            </w:r>
          </w:p>
        </w:tc>
        <w:tc>
          <w:tcPr>
            <w:tcW w:w="1097" w:type="dxa"/>
            <w:noWrap/>
            <w:hideMark/>
          </w:tcPr>
          <w:p w:rsidR="0062688C" w:rsidRPr="00F15F35" w:rsidRDefault="0062688C" w:rsidP="005947AC">
            <w:pPr>
              <w:pStyle w:val="a6"/>
              <w:jc w:val="left"/>
              <w:rPr>
                <w:color w:val="auto"/>
              </w:rPr>
            </w:pPr>
            <w:r w:rsidRPr="00F15F35">
              <w:rPr>
                <w:color w:val="auto"/>
              </w:rPr>
              <w:t>6,49</w:t>
            </w:r>
          </w:p>
        </w:tc>
        <w:tc>
          <w:tcPr>
            <w:tcW w:w="1097" w:type="dxa"/>
            <w:noWrap/>
            <w:hideMark/>
          </w:tcPr>
          <w:p w:rsidR="0062688C" w:rsidRPr="00F15F35" w:rsidRDefault="0062688C" w:rsidP="005947AC">
            <w:pPr>
              <w:pStyle w:val="a6"/>
              <w:jc w:val="left"/>
              <w:rPr>
                <w:color w:val="auto"/>
              </w:rPr>
            </w:pPr>
            <w:r w:rsidRPr="00F15F35">
              <w:rPr>
                <w:color w:val="auto"/>
              </w:rPr>
              <w:t>10,13</w:t>
            </w:r>
          </w:p>
        </w:tc>
        <w:tc>
          <w:tcPr>
            <w:tcW w:w="1098" w:type="dxa"/>
            <w:noWrap/>
            <w:hideMark/>
          </w:tcPr>
          <w:p w:rsidR="0062688C" w:rsidRPr="00F15F35" w:rsidRDefault="0062688C" w:rsidP="005947AC">
            <w:pPr>
              <w:pStyle w:val="a6"/>
              <w:jc w:val="left"/>
              <w:rPr>
                <w:color w:val="auto"/>
              </w:rPr>
            </w:pPr>
            <w:r w:rsidRPr="00F15F35">
              <w:rPr>
                <w:color w:val="auto"/>
              </w:rPr>
              <w:t>59,26</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Кошти в Національному банку України</w:t>
            </w:r>
          </w:p>
        </w:tc>
        <w:tc>
          <w:tcPr>
            <w:tcW w:w="1097" w:type="dxa"/>
            <w:noWrap/>
            <w:hideMark/>
          </w:tcPr>
          <w:p w:rsidR="0062688C" w:rsidRPr="00F15F35" w:rsidRDefault="0062688C" w:rsidP="005947AC">
            <w:pPr>
              <w:pStyle w:val="a6"/>
              <w:jc w:val="left"/>
              <w:rPr>
                <w:color w:val="auto"/>
              </w:rPr>
            </w:pPr>
            <w:r w:rsidRPr="00F15F35">
              <w:rPr>
                <w:color w:val="auto"/>
              </w:rPr>
              <w:t>7,13</w:t>
            </w:r>
          </w:p>
        </w:tc>
        <w:tc>
          <w:tcPr>
            <w:tcW w:w="1097" w:type="dxa"/>
            <w:noWrap/>
            <w:hideMark/>
          </w:tcPr>
          <w:p w:rsidR="0062688C" w:rsidRPr="00F15F35" w:rsidRDefault="0062688C" w:rsidP="005947AC">
            <w:pPr>
              <w:pStyle w:val="a6"/>
              <w:jc w:val="left"/>
              <w:rPr>
                <w:color w:val="auto"/>
              </w:rPr>
            </w:pPr>
            <w:r w:rsidRPr="00F15F35">
              <w:rPr>
                <w:color w:val="auto"/>
              </w:rPr>
              <w:t>1,34</w:t>
            </w:r>
          </w:p>
        </w:tc>
        <w:tc>
          <w:tcPr>
            <w:tcW w:w="1097" w:type="dxa"/>
            <w:noWrap/>
            <w:hideMark/>
          </w:tcPr>
          <w:p w:rsidR="0062688C" w:rsidRPr="00F15F35" w:rsidRDefault="0062688C" w:rsidP="005947AC">
            <w:pPr>
              <w:pStyle w:val="a6"/>
              <w:jc w:val="left"/>
              <w:rPr>
                <w:color w:val="auto"/>
              </w:rPr>
            </w:pPr>
            <w:r w:rsidRPr="00F15F35">
              <w:rPr>
                <w:color w:val="auto"/>
              </w:rPr>
              <w:t>119,85</w:t>
            </w:r>
          </w:p>
        </w:tc>
        <w:tc>
          <w:tcPr>
            <w:tcW w:w="1098" w:type="dxa"/>
            <w:noWrap/>
            <w:hideMark/>
          </w:tcPr>
          <w:p w:rsidR="0062688C" w:rsidRPr="00F15F35" w:rsidRDefault="0062688C" w:rsidP="005947AC">
            <w:pPr>
              <w:pStyle w:val="a6"/>
              <w:jc w:val="left"/>
              <w:rPr>
                <w:color w:val="auto"/>
              </w:rPr>
            </w:pPr>
            <w:r w:rsidRPr="00F15F35">
              <w:rPr>
                <w:color w:val="auto"/>
              </w:rPr>
              <w:t>-49,23</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lastRenderedPageBreak/>
              <w:t>Кореспондентські рахунки, що відкриті в інших банках</w:t>
            </w:r>
          </w:p>
        </w:tc>
        <w:tc>
          <w:tcPr>
            <w:tcW w:w="1097" w:type="dxa"/>
            <w:noWrap/>
            <w:hideMark/>
          </w:tcPr>
          <w:p w:rsidR="0062688C" w:rsidRPr="00F15F35" w:rsidRDefault="0062688C" w:rsidP="005947AC">
            <w:pPr>
              <w:pStyle w:val="a6"/>
              <w:jc w:val="left"/>
              <w:rPr>
                <w:color w:val="auto"/>
              </w:rPr>
            </w:pPr>
            <w:r w:rsidRPr="00F15F35">
              <w:rPr>
                <w:color w:val="auto"/>
              </w:rPr>
              <w:t>-7,47</w:t>
            </w:r>
          </w:p>
        </w:tc>
        <w:tc>
          <w:tcPr>
            <w:tcW w:w="1097" w:type="dxa"/>
            <w:noWrap/>
            <w:hideMark/>
          </w:tcPr>
          <w:p w:rsidR="0062688C" w:rsidRPr="00F15F35" w:rsidRDefault="0062688C" w:rsidP="005947AC">
            <w:pPr>
              <w:pStyle w:val="a6"/>
              <w:jc w:val="left"/>
              <w:rPr>
                <w:color w:val="auto"/>
              </w:rPr>
            </w:pPr>
            <w:r w:rsidRPr="00F15F35">
              <w:rPr>
                <w:color w:val="auto"/>
              </w:rPr>
              <w:t>-4,05</w:t>
            </w:r>
          </w:p>
        </w:tc>
        <w:tc>
          <w:tcPr>
            <w:tcW w:w="1097" w:type="dxa"/>
            <w:noWrap/>
            <w:hideMark/>
          </w:tcPr>
          <w:p w:rsidR="0062688C" w:rsidRPr="00F15F35" w:rsidRDefault="0062688C" w:rsidP="005947AC">
            <w:pPr>
              <w:pStyle w:val="a6"/>
              <w:jc w:val="left"/>
              <w:rPr>
                <w:color w:val="auto"/>
              </w:rPr>
            </w:pPr>
            <w:r w:rsidRPr="00F15F35">
              <w:rPr>
                <w:color w:val="auto"/>
              </w:rPr>
              <w:t>39,93</w:t>
            </w:r>
          </w:p>
        </w:tc>
        <w:tc>
          <w:tcPr>
            <w:tcW w:w="1098" w:type="dxa"/>
            <w:noWrap/>
            <w:hideMark/>
          </w:tcPr>
          <w:p w:rsidR="0062688C" w:rsidRPr="00F15F35" w:rsidRDefault="0062688C" w:rsidP="005947AC">
            <w:pPr>
              <w:pStyle w:val="a6"/>
              <w:jc w:val="left"/>
              <w:rPr>
                <w:color w:val="auto"/>
              </w:rPr>
            </w:pPr>
            <w:r w:rsidRPr="00F15F35">
              <w:rPr>
                <w:color w:val="auto"/>
              </w:rPr>
              <w:t>52,97</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Строкові вклади в інших банках та кредити, надані іншим банкам</w:t>
            </w:r>
          </w:p>
        </w:tc>
        <w:tc>
          <w:tcPr>
            <w:tcW w:w="1097" w:type="dxa"/>
            <w:noWrap/>
            <w:hideMark/>
          </w:tcPr>
          <w:p w:rsidR="0062688C" w:rsidRPr="00F15F35" w:rsidRDefault="0062688C" w:rsidP="005947AC">
            <w:pPr>
              <w:pStyle w:val="a6"/>
              <w:jc w:val="left"/>
              <w:rPr>
                <w:color w:val="auto"/>
              </w:rPr>
            </w:pPr>
            <w:r w:rsidRPr="00F15F35">
              <w:rPr>
                <w:color w:val="auto"/>
              </w:rPr>
              <w:t>43,51</w:t>
            </w:r>
          </w:p>
        </w:tc>
        <w:tc>
          <w:tcPr>
            <w:tcW w:w="1097" w:type="dxa"/>
            <w:noWrap/>
            <w:hideMark/>
          </w:tcPr>
          <w:p w:rsidR="0062688C" w:rsidRPr="00F15F35" w:rsidRDefault="0062688C" w:rsidP="005947AC">
            <w:pPr>
              <w:pStyle w:val="a6"/>
              <w:jc w:val="left"/>
              <w:rPr>
                <w:color w:val="auto"/>
              </w:rPr>
            </w:pPr>
            <w:r w:rsidRPr="00F15F35">
              <w:rPr>
                <w:color w:val="auto"/>
              </w:rPr>
              <w:t>26,59</w:t>
            </w:r>
          </w:p>
        </w:tc>
        <w:tc>
          <w:tcPr>
            <w:tcW w:w="1097" w:type="dxa"/>
            <w:noWrap/>
            <w:hideMark/>
          </w:tcPr>
          <w:p w:rsidR="0062688C" w:rsidRPr="00F15F35" w:rsidRDefault="0062688C" w:rsidP="005947AC">
            <w:pPr>
              <w:pStyle w:val="a6"/>
              <w:jc w:val="left"/>
              <w:rPr>
                <w:color w:val="auto"/>
              </w:rPr>
            </w:pPr>
            <w:r w:rsidRPr="00F15F35">
              <w:rPr>
                <w:color w:val="auto"/>
              </w:rPr>
              <w:t>6,62</w:t>
            </w:r>
          </w:p>
        </w:tc>
        <w:tc>
          <w:tcPr>
            <w:tcW w:w="1098" w:type="dxa"/>
            <w:noWrap/>
            <w:hideMark/>
          </w:tcPr>
          <w:p w:rsidR="0062688C" w:rsidRPr="00F15F35" w:rsidRDefault="0062688C" w:rsidP="005947AC">
            <w:pPr>
              <w:pStyle w:val="a6"/>
              <w:jc w:val="left"/>
              <w:rPr>
                <w:color w:val="auto"/>
              </w:rPr>
            </w:pPr>
            <w:r w:rsidRPr="00F15F35">
              <w:rPr>
                <w:color w:val="auto"/>
              </w:rPr>
              <w:t>47,90</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Кредити</w:t>
            </w:r>
            <w:r w:rsidR="005947AC" w:rsidRPr="00F15F35">
              <w:rPr>
                <w:color w:val="auto"/>
              </w:rPr>
              <w:t>,</w:t>
            </w:r>
            <w:r w:rsidRPr="00F15F35">
              <w:rPr>
                <w:color w:val="auto"/>
              </w:rPr>
              <w:t xml:space="preserve"> надані клієнтам</w:t>
            </w:r>
          </w:p>
        </w:tc>
        <w:tc>
          <w:tcPr>
            <w:tcW w:w="1097" w:type="dxa"/>
            <w:noWrap/>
            <w:hideMark/>
          </w:tcPr>
          <w:p w:rsidR="0062688C" w:rsidRPr="00F15F35" w:rsidRDefault="0062688C" w:rsidP="005947AC">
            <w:pPr>
              <w:pStyle w:val="a6"/>
              <w:jc w:val="left"/>
              <w:rPr>
                <w:color w:val="auto"/>
              </w:rPr>
            </w:pPr>
            <w:r w:rsidRPr="00F15F35">
              <w:rPr>
                <w:color w:val="auto"/>
              </w:rPr>
              <w:t>20,66</w:t>
            </w:r>
          </w:p>
        </w:tc>
        <w:tc>
          <w:tcPr>
            <w:tcW w:w="1097" w:type="dxa"/>
            <w:noWrap/>
            <w:hideMark/>
          </w:tcPr>
          <w:p w:rsidR="0062688C" w:rsidRPr="00F15F35" w:rsidRDefault="0062688C" w:rsidP="005947AC">
            <w:pPr>
              <w:pStyle w:val="a6"/>
              <w:jc w:val="left"/>
              <w:rPr>
                <w:color w:val="auto"/>
              </w:rPr>
            </w:pPr>
            <w:r w:rsidRPr="00F15F35">
              <w:rPr>
                <w:color w:val="auto"/>
              </w:rPr>
              <w:t>14,93</w:t>
            </w:r>
          </w:p>
        </w:tc>
        <w:tc>
          <w:tcPr>
            <w:tcW w:w="1097" w:type="dxa"/>
            <w:noWrap/>
            <w:hideMark/>
          </w:tcPr>
          <w:p w:rsidR="0062688C" w:rsidRPr="00F15F35" w:rsidRDefault="0062688C" w:rsidP="005947AC">
            <w:pPr>
              <w:pStyle w:val="a6"/>
              <w:jc w:val="left"/>
              <w:rPr>
                <w:color w:val="auto"/>
              </w:rPr>
            </w:pPr>
            <w:r w:rsidRPr="00F15F35">
              <w:rPr>
                <w:color w:val="auto"/>
              </w:rPr>
              <w:t>-5,17</w:t>
            </w:r>
          </w:p>
        </w:tc>
        <w:tc>
          <w:tcPr>
            <w:tcW w:w="1098" w:type="dxa"/>
            <w:noWrap/>
            <w:hideMark/>
          </w:tcPr>
          <w:p w:rsidR="0062688C" w:rsidRPr="00F15F35" w:rsidRDefault="0062688C" w:rsidP="005947AC">
            <w:pPr>
              <w:pStyle w:val="a6"/>
              <w:jc w:val="left"/>
              <w:rPr>
                <w:color w:val="auto"/>
              </w:rPr>
            </w:pPr>
            <w:r w:rsidRPr="00F15F35">
              <w:rPr>
                <w:color w:val="auto"/>
              </w:rPr>
              <w:t>-4,20</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Вкладення в цінні папери та довгострокові інвестиції</w:t>
            </w:r>
          </w:p>
        </w:tc>
        <w:tc>
          <w:tcPr>
            <w:tcW w:w="1097" w:type="dxa"/>
            <w:noWrap/>
            <w:hideMark/>
          </w:tcPr>
          <w:p w:rsidR="0062688C" w:rsidRPr="00F15F35" w:rsidRDefault="0062688C" w:rsidP="005947AC">
            <w:pPr>
              <w:pStyle w:val="a6"/>
              <w:jc w:val="left"/>
              <w:rPr>
                <w:color w:val="auto"/>
              </w:rPr>
            </w:pPr>
            <w:r w:rsidRPr="00F15F35">
              <w:rPr>
                <w:color w:val="auto"/>
              </w:rPr>
              <w:t>50,03</w:t>
            </w:r>
          </w:p>
        </w:tc>
        <w:tc>
          <w:tcPr>
            <w:tcW w:w="1097" w:type="dxa"/>
            <w:noWrap/>
            <w:hideMark/>
          </w:tcPr>
          <w:p w:rsidR="0062688C" w:rsidRPr="00F15F35" w:rsidRDefault="0062688C" w:rsidP="005947AC">
            <w:pPr>
              <w:pStyle w:val="a6"/>
              <w:jc w:val="left"/>
              <w:rPr>
                <w:color w:val="auto"/>
              </w:rPr>
            </w:pPr>
            <w:r w:rsidRPr="00F15F35">
              <w:rPr>
                <w:color w:val="auto"/>
              </w:rPr>
              <w:t>20,20</w:t>
            </w:r>
          </w:p>
        </w:tc>
        <w:tc>
          <w:tcPr>
            <w:tcW w:w="1097" w:type="dxa"/>
            <w:noWrap/>
            <w:hideMark/>
          </w:tcPr>
          <w:p w:rsidR="0062688C" w:rsidRPr="00F15F35" w:rsidRDefault="0062688C" w:rsidP="005947AC">
            <w:pPr>
              <w:pStyle w:val="a6"/>
              <w:jc w:val="left"/>
              <w:rPr>
                <w:color w:val="auto"/>
              </w:rPr>
            </w:pPr>
            <w:r w:rsidRPr="00F15F35">
              <w:rPr>
                <w:color w:val="auto"/>
              </w:rPr>
              <w:t>15,24</w:t>
            </w:r>
          </w:p>
        </w:tc>
        <w:tc>
          <w:tcPr>
            <w:tcW w:w="1098" w:type="dxa"/>
            <w:noWrap/>
            <w:hideMark/>
          </w:tcPr>
          <w:p w:rsidR="0062688C" w:rsidRPr="00F15F35" w:rsidRDefault="0062688C" w:rsidP="005947AC">
            <w:pPr>
              <w:pStyle w:val="a6"/>
              <w:jc w:val="left"/>
              <w:rPr>
                <w:color w:val="auto"/>
              </w:rPr>
            </w:pPr>
            <w:r w:rsidRPr="00F15F35">
              <w:rPr>
                <w:color w:val="auto"/>
              </w:rPr>
              <w:t>50,71</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ПАСИВИ</w:t>
            </w:r>
          </w:p>
        </w:tc>
        <w:tc>
          <w:tcPr>
            <w:tcW w:w="1097" w:type="dxa"/>
            <w:noWrap/>
            <w:hideMark/>
          </w:tcPr>
          <w:p w:rsidR="0062688C" w:rsidRPr="00F15F35" w:rsidRDefault="0062688C" w:rsidP="005947AC">
            <w:pPr>
              <w:pStyle w:val="a6"/>
              <w:jc w:val="left"/>
              <w:rPr>
                <w:color w:val="auto"/>
              </w:rPr>
            </w:pPr>
          </w:p>
        </w:tc>
        <w:tc>
          <w:tcPr>
            <w:tcW w:w="1097" w:type="dxa"/>
            <w:noWrap/>
            <w:hideMark/>
          </w:tcPr>
          <w:p w:rsidR="0062688C" w:rsidRPr="00F15F35" w:rsidRDefault="0062688C" w:rsidP="005947AC">
            <w:pPr>
              <w:pStyle w:val="a6"/>
              <w:jc w:val="left"/>
              <w:rPr>
                <w:rFonts w:cs="Times New Roman"/>
                <w:color w:val="auto"/>
                <w:sz w:val="20"/>
                <w:szCs w:val="20"/>
              </w:rPr>
            </w:pPr>
          </w:p>
        </w:tc>
        <w:tc>
          <w:tcPr>
            <w:tcW w:w="1097" w:type="dxa"/>
            <w:noWrap/>
            <w:hideMark/>
          </w:tcPr>
          <w:p w:rsidR="0062688C" w:rsidRPr="00F15F35" w:rsidRDefault="0062688C" w:rsidP="005947AC">
            <w:pPr>
              <w:pStyle w:val="a6"/>
              <w:jc w:val="left"/>
              <w:rPr>
                <w:rFonts w:cs="Times New Roman"/>
                <w:color w:val="auto"/>
                <w:sz w:val="20"/>
                <w:szCs w:val="20"/>
              </w:rPr>
            </w:pPr>
          </w:p>
        </w:tc>
        <w:tc>
          <w:tcPr>
            <w:tcW w:w="1098" w:type="dxa"/>
            <w:noWrap/>
            <w:hideMark/>
          </w:tcPr>
          <w:p w:rsidR="0062688C" w:rsidRPr="00F15F35" w:rsidRDefault="0062688C" w:rsidP="005947AC">
            <w:pPr>
              <w:pStyle w:val="a6"/>
              <w:jc w:val="left"/>
              <w:rPr>
                <w:rFonts w:cs="Times New Roman"/>
                <w:color w:val="auto"/>
                <w:sz w:val="20"/>
                <w:szCs w:val="20"/>
              </w:rPr>
            </w:pP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Пасиви</w:t>
            </w:r>
          </w:p>
        </w:tc>
        <w:tc>
          <w:tcPr>
            <w:tcW w:w="1097" w:type="dxa"/>
            <w:noWrap/>
            <w:hideMark/>
          </w:tcPr>
          <w:p w:rsidR="0062688C" w:rsidRPr="00F15F35" w:rsidRDefault="0062688C" w:rsidP="005947AC">
            <w:pPr>
              <w:pStyle w:val="a6"/>
              <w:jc w:val="left"/>
              <w:rPr>
                <w:color w:val="auto"/>
              </w:rPr>
            </w:pPr>
            <w:r w:rsidRPr="00F15F35">
              <w:rPr>
                <w:color w:val="auto"/>
              </w:rPr>
              <w:t>24,30</w:t>
            </w:r>
          </w:p>
        </w:tc>
        <w:tc>
          <w:tcPr>
            <w:tcW w:w="1097" w:type="dxa"/>
            <w:noWrap/>
            <w:hideMark/>
          </w:tcPr>
          <w:p w:rsidR="0062688C" w:rsidRPr="00F15F35" w:rsidRDefault="0062688C" w:rsidP="005947AC">
            <w:pPr>
              <w:pStyle w:val="a6"/>
              <w:jc w:val="left"/>
              <w:rPr>
                <w:color w:val="auto"/>
              </w:rPr>
            </w:pPr>
            <w:r w:rsidRPr="00F15F35">
              <w:rPr>
                <w:color w:val="auto"/>
              </w:rPr>
              <w:t>8,56</w:t>
            </w:r>
          </w:p>
        </w:tc>
        <w:tc>
          <w:tcPr>
            <w:tcW w:w="1097" w:type="dxa"/>
            <w:noWrap/>
            <w:hideMark/>
          </w:tcPr>
          <w:p w:rsidR="0062688C" w:rsidRPr="00F15F35" w:rsidRDefault="0062688C" w:rsidP="005947AC">
            <w:pPr>
              <w:pStyle w:val="a6"/>
              <w:jc w:val="left"/>
              <w:rPr>
                <w:color w:val="auto"/>
              </w:rPr>
            </w:pPr>
            <w:r w:rsidRPr="00F15F35">
              <w:rPr>
                <w:color w:val="auto"/>
              </w:rPr>
              <w:t>12,75</w:t>
            </w:r>
          </w:p>
        </w:tc>
        <w:tc>
          <w:tcPr>
            <w:tcW w:w="1098" w:type="dxa"/>
            <w:noWrap/>
            <w:hideMark/>
          </w:tcPr>
          <w:p w:rsidR="0062688C" w:rsidRPr="00F15F35" w:rsidRDefault="0062688C" w:rsidP="005947AC">
            <w:pPr>
              <w:pStyle w:val="a6"/>
              <w:jc w:val="left"/>
              <w:rPr>
                <w:color w:val="auto"/>
              </w:rPr>
            </w:pPr>
            <w:r w:rsidRPr="00F15F35">
              <w:rPr>
                <w:color w:val="auto"/>
              </w:rPr>
              <w:t>25,41</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Капітал</w:t>
            </w:r>
          </w:p>
        </w:tc>
        <w:tc>
          <w:tcPr>
            <w:tcW w:w="1097" w:type="dxa"/>
            <w:noWrap/>
            <w:hideMark/>
          </w:tcPr>
          <w:p w:rsidR="0062688C" w:rsidRPr="00F15F35" w:rsidRDefault="0062688C" w:rsidP="005947AC">
            <w:pPr>
              <w:pStyle w:val="a6"/>
              <w:jc w:val="left"/>
              <w:rPr>
                <w:color w:val="auto"/>
              </w:rPr>
            </w:pPr>
            <w:r w:rsidRPr="00F15F35">
              <w:rPr>
                <w:color w:val="auto"/>
              </w:rPr>
              <w:t>52,37</w:t>
            </w:r>
          </w:p>
        </w:tc>
        <w:tc>
          <w:tcPr>
            <w:tcW w:w="1097" w:type="dxa"/>
            <w:noWrap/>
            <w:hideMark/>
          </w:tcPr>
          <w:p w:rsidR="0062688C" w:rsidRPr="00F15F35" w:rsidRDefault="0062688C" w:rsidP="005947AC">
            <w:pPr>
              <w:pStyle w:val="a6"/>
              <w:jc w:val="left"/>
              <w:rPr>
                <w:color w:val="auto"/>
              </w:rPr>
            </w:pPr>
            <w:r w:rsidRPr="00F15F35">
              <w:rPr>
                <w:color w:val="auto"/>
              </w:rPr>
              <w:t>2,43</w:t>
            </w:r>
          </w:p>
        </w:tc>
        <w:tc>
          <w:tcPr>
            <w:tcW w:w="1097" w:type="dxa"/>
            <w:noWrap/>
            <w:hideMark/>
          </w:tcPr>
          <w:p w:rsidR="0062688C" w:rsidRPr="00F15F35" w:rsidRDefault="0062688C" w:rsidP="005947AC">
            <w:pPr>
              <w:pStyle w:val="a6"/>
              <w:jc w:val="left"/>
              <w:rPr>
                <w:color w:val="auto"/>
              </w:rPr>
            </w:pPr>
            <w:r w:rsidRPr="00F15F35">
              <w:rPr>
                <w:color w:val="auto"/>
              </w:rPr>
              <w:t>32,45</w:t>
            </w:r>
          </w:p>
        </w:tc>
        <w:tc>
          <w:tcPr>
            <w:tcW w:w="1098" w:type="dxa"/>
            <w:noWrap/>
            <w:hideMark/>
          </w:tcPr>
          <w:p w:rsidR="0062688C" w:rsidRPr="00F15F35" w:rsidRDefault="0062688C" w:rsidP="005947AC">
            <w:pPr>
              <w:pStyle w:val="a6"/>
              <w:jc w:val="left"/>
              <w:rPr>
                <w:color w:val="auto"/>
              </w:rPr>
            </w:pPr>
            <w:r w:rsidRPr="00F15F35">
              <w:rPr>
                <w:color w:val="auto"/>
              </w:rPr>
              <w:t>8,25</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Зобов</w:t>
            </w:r>
            <w:r w:rsidR="00F113F3" w:rsidRPr="00F15F35">
              <w:rPr>
                <w:color w:val="auto"/>
              </w:rPr>
              <w:t>’</w:t>
            </w:r>
            <w:r w:rsidRPr="00F15F35">
              <w:rPr>
                <w:color w:val="auto"/>
              </w:rPr>
              <w:t>язання банків</w:t>
            </w:r>
          </w:p>
        </w:tc>
        <w:tc>
          <w:tcPr>
            <w:tcW w:w="1097" w:type="dxa"/>
            <w:noWrap/>
            <w:hideMark/>
          </w:tcPr>
          <w:p w:rsidR="0062688C" w:rsidRPr="00F15F35" w:rsidRDefault="0062688C" w:rsidP="005947AC">
            <w:pPr>
              <w:pStyle w:val="a6"/>
              <w:jc w:val="left"/>
              <w:rPr>
                <w:color w:val="auto"/>
              </w:rPr>
            </w:pPr>
            <w:r w:rsidRPr="00F15F35">
              <w:rPr>
                <w:color w:val="auto"/>
              </w:rPr>
              <w:t>21,23</w:t>
            </w:r>
          </w:p>
        </w:tc>
        <w:tc>
          <w:tcPr>
            <w:tcW w:w="1097" w:type="dxa"/>
            <w:noWrap/>
            <w:hideMark/>
          </w:tcPr>
          <w:p w:rsidR="0062688C" w:rsidRPr="00F15F35" w:rsidRDefault="0062688C" w:rsidP="005947AC">
            <w:pPr>
              <w:pStyle w:val="a6"/>
              <w:jc w:val="left"/>
              <w:rPr>
                <w:color w:val="auto"/>
              </w:rPr>
            </w:pPr>
            <w:r w:rsidRPr="00F15F35">
              <w:rPr>
                <w:color w:val="auto"/>
              </w:rPr>
              <w:t>9,40</w:t>
            </w:r>
          </w:p>
        </w:tc>
        <w:tc>
          <w:tcPr>
            <w:tcW w:w="1097" w:type="dxa"/>
            <w:noWrap/>
            <w:hideMark/>
          </w:tcPr>
          <w:p w:rsidR="0062688C" w:rsidRPr="00F15F35" w:rsidRDefault="0062688C" w:rsidP="005947AC">
            <w:pPr>
              <w:pStyle w:val="a6"/>
              <w:jc w:val="left"/>
              <w:rPr>
                <w:color w:val="auto"/>
              </w:rPr>
            </w:pPr>
            <w:r w:rsidRPr="00F15F35">
              <w:rPr>
                <w:color w:val="auto"/>
              </w:rPr>
              <w:t>10,22</w:t>
            </w:r>
          </w:p>
        </w:tc>
        <w:tc>
          <w:tcPr>
            <w:tcW w:w="1098" w:type="dxa"/>
            <w:noWrap/>
            <w:hideMark/>
          </w:tcPr>
          <w:p w:rsidR="0062688C" w:rsidRPr="00F15F35" w:rsidRDefault="0062688C" w:rsidP="005947AC">
            <w:pPr>
              <w:pStyle w:val="a6"/>
              <w:jc w:val="left"/>
              <w:rPr>
                <w:color w:val="auto"/>
              </w:rPr>
            </w:pPr>
            <w:r w:rsidRPr="00F15F35">
              <w:rPr>
                <w:color w:val="auto"/>
              </w:rPr>
              <w:t>28,06</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Зобов</w:t>
            </w:r>
            <w:r w:rsidR="00F113F3" w:rsidRPr="00F15F35">
              <w:rPr>
                <w:color w:val="auto"/>
              </w:rPr>
              <w:t>’</w:t>
            </w:r>
            <w:r w:rsidRPr="00F15F35">
              <w:rPr>
                <w:color w:val="auto"/>
              </w:rPr>
              <w:t>язання банків в іноземній валюті</w:t>
            </w:r>
          </w:p>
        </w:tc>
        <w:tc>
          <w:tcPr>
            <w:tcW w:w="1097" w:type="dxa"/>
            <w:noWrap/>
            <w:hideMark/>
          </w:tcPr>
          <w:p w:rsidR="0062688C" w:rsidRPr="00F15F35" w:rsidRDefault="0062688C" w:rsidP="005947AC">
            <w:pPr>
              <w:pStyle w:val="a6"/>
              <w:jc w:val="left"/>
              <w:rPr>
                <w:color w:val="auto"/>
              </w:rPr>
            </w:pPr>
            <w:r w:rsidRPr="00F15F35">
              <w:rPr>
                <w:color w:val="auto"/>
              </w:rPr>
              <w:t>11,52</w:t>
            </w:r>
          </w:p>
        </w:tc>
        <w:tc>
          <w:tcPr>
            <w:tcW w:w="1097" w:type="dxa"/>
            <w:noWrap/>
            <w:hideMark/>
          </w:tcPr>
          <w:p w:rsidR="0062688C" w:rsidRPr="00F15F35" w:rsidRDefault="0062688C" w:rsidP="005947AC">
            <w:pPr>
              <w:pStyle w:val="a6"/>
              <w:jc w:val="left"/>
              <w:rPr>
                <w:color w:val="auto"/>
              </w:rPr>
            </w:pPr>
            <w:r w:rsidRPr="00F15F35">
              <w:rPr>
                <w:color w:val="auto"/>
              </w:rPr>
              <w:t>2,03</w:t>
            </w:r>
          </w:p>
        </w:tc>
        <w:tc>
          <w:tcPr>
            <w:tcW w:w="1097" w:type="dxa"/>
            <w:noWrap/>
            <w:hideMark/>
          </w:tcPr>
          <w:p w:rsidR="0062688C" w:rsidRPr="00F15F35" w:rsidRDefault="0062688C" w:rsidP="005947AC">
            <w:pPr>
              <w:pStyle w:val="a6"/>
              <w:jc w:val="left"/>
              <w:rPr>
                <w:color w:val="auto"/>
              </w:rPr>
            </w:pPr>
            <w:r w:rsidRPr="00F15F35">
              <w:rPr>
                <w:color w:val="auto"/>
              </w:rPr>
              <w:t>-0,71</w:t>
            </w:r>
          </w:p>
        </w:tc>
        <w:tc>
          <w:tcPr>
            <w:tcW w:w="1098" w:type="dxa"/>
            <w:noWrap/>
            <w:hideMark/>
          </w:tcPr>
          <w:p w:rsidR="0062688C" w:rsidRPr="00F15F35" w:rsidRDefault="0062688C" w:rsidP="005947AC">
            <w:pPr>
              <w:pStyle w:val="a6"/>
              <w:jc w:val="left"/>
              <w:rPr>
                <w:color w:val="auto"/>
              </w:rPr>
            </w:pPr>
            <w:r w:rsidRPr="00F15F35">
              <w:rPr>
                <w:color w:val="auto"/>
              </w:rPr>
              <w:t>16,90</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proofErr w:type="spellStart"/>
            <w:r w:rsidRPr="00F15F35">
              <w:rPr>
                <w:color w:val="auto"/>
              </w:rPr>
              <w:t>Cтрокові</w:t>
            </w:r>
            <w:proofErr w:type="spellEnd"/>
            <w:r w:rsidRPr="00F15F35">
              <w:rPr>
                <w:color w:val="auto"/>
              </w:rPr>
              <w:t xml:space="preserve"> вклади (депози</w:t>
            </w:r>
            <w:r w:rsidR="005947AC" w:rsidRPr="00F15F35">
              <w:rPr>
                <w:color w:val="auto"/>
              </w:rPr>
              <w:t xml:space="preserve">ти) інших банків та кредити, </w:t>
            </w:r>
            <w:r w:rsidRPr="00F15F35">
              <w:rPr>
                <w:color w:val="auto"/>
              </w:rPr>
              <w:t>отримані від інших банків</w:t>
            </w:r>
          </w:p>
        </w:tc>
        <w:tc>
          <w:tcPr>
            <w:tcW w:w="1097" w:type="dxa"/>
            <w:noWrap/>
            <w:hideMark/>
          </w:tcPr>
          <w:p w:rsidR="0062688C" w:rsidRPr="00F15F35" w:rsidRDefault="0062688C" w:rsidP="005947AC">
            <w:pPr>
              <w:pStyle w:val="a6"/>
              <w:jc w:val="left"/>
              <w:rPr>
                <w:color w:val="auto"/>
              </w:rPr>
            </w:pPr>
            <w:r w:rsidRPr="00F15F35">
              <w:rPr>
                <w:color w:val="auto"/>
              </w:rPr>
              <w:t>-20,45</w:t>
            </w:r>
          </w:p>
        </w:tc>
        <w:tc>
          <w:tcPr>
            <w:tcW w:w="1097" w:type="dxa"/>
            <w:noWrap/>
            <w:hideMark/>
          </w:tcPr>
          <w:p w:rsidR="0062688C" w:rsidRPr="00F15F35" w:rsidRDefault="0062688C" w:rsidP="005947AC">
            <w:pPr>
              <w:pStyle w:val="a6"/>
              <w:jc w:val="left"/>
              <w:rPr>
                <w:color w:val="auto"/>
              </w:rPr>
            </w:pPr>
            <w:r w:rsidRPr="00F15F35">
              <w:rPr>
                <w:color w:val="auto"/>
              </w:rPr>
              <w:t>-10,60</w:t>
            </w:r>
          </w:p>
        </w:tc>
        <w:tc>
          <w:tcPr>
            <w:tcW w:w="1097" w:type="dxa"/>
            <w:noWrap/>
            <w:hideMark/>
          </w:tcPr>
          <w:p w:rsidR="0062688C" w:rsidRPr="00F15F35" w:rsidRDefault="0062688C" w:rsidP="005947AC">
            <w:pPr>
              <w:pStyle w:val="a6"/>
              <w:jc w:val="left"/>
              <w:rPr>
                <w:color w:val="auto"/>
              </w:rPr>
            </w:pPr>
            <w:r w:rsidRPr="00F15F35">
              <w:rPr>
                <w:color w:val="auto"/>
              </w:rPr>
              <w:t>-41,80</w:t>
            </w:r>
          </w:p>
        </w:tc>
        <w:tc>
          <w:tcPr>
            <w:tcW w:w="1098" w:type="dxa"/>
            <w:noWrap/>
            <w:hideMark/>
          </w:tcPr>
          <w:p w:rsidR="0062688C" w:rsidRPr="00F15F35" w:rsidRDefault="0062688C" w:rsidP="005947AC">
            <w:pPr>
              <w:pStyle w:val="a6"/>
              <w:jc w:val="left"/>
              <w:rPr>
                <w:color w:val="auto"/>
              </w:rPr>
            </w:pPr>
            <w:r w:rsidRPr="00F15F35">
              <w:rPr>
                <w:color w:val="auto"/>
              </w:rPr>
              <w:t>4,13</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Кошти суб</w:t>
            </w:r>
            <w:r w:rsidR="00F113F3" w:rsidRPr="00F15F35">
              <w:rPr>
                <w:color w:val="auto"/>
              </w:rPr>
              <w:t>’</w:t>
            </w:r>
            <w:r w:rsidRPr="00F15F35">
              <w:rPr>
                <w:color w:val="auto"/>
              </w:rPr>
              <w:t>єктів господарювання</w:t>
            </w:r>
          </w:p>
        </w:tc>
        <w:tc>
          <w:tcPr>
            <w:tcW w:w="1097" w:type="dxa"/>
            <w:noWrap/>
            <w:hideMark/>
          </w:tcPr>
          <w:p w:rsidR="0062688C" w:rsidRPr="00F15F35" w:rsidRDefault="0062688C" w:rsidP="005947AC">
            <w:pPr>
              <w:pStyle w:val="a6"/>
              <w:jc w:val="left"/>
              <w:rPr>
                <w:color w:val="auto"/>
              </w:rPr>
            </w:pPr>
            <w:r w:rsidRPr="00F15F35">
              <w:rPr>
                <w:color w:val="auto"/>
              </w:rPr>
              <w:t>27,85</w:t>
            </w:r>
          </w:p>
        </w:tc>
        <w:tc>
          <w:tcPr>
            <w:tcW w:w="1097" w:type="dxa"/>
            <w:noWrap/>
            <w:hideMark/>
          </w:tcPr>
          <w:p w:rsidR="0062688C" w:rsidRPr="00F15F35" w:rsidRDefault="0062688C" w:rsidP="005947AC">
            <w:pPr>
              <w:pStyle w:val="a6"/>
              <w:jc w:val="left"/>
              <w:rPr>
                <w:color w:val="auto"/>
              </w:rPr>
            </w:pPr>
            <w:r w:rsidRPr="00F15F35">
              <w:rPr>
                <w:color w:val="auto"/>
              </w:rPr>
              <w:t>7,13</w:t>
            </w:r>
          </w:p>
        </w:tc>
        <w:tc>
          <w:tcPr>
            <w:tcW w:w="1097" w:type="dxa"/>
            <w:noWrap/>
            <w:hideMark/>
          </w:tcPr>
          <w:p w:rsidR="0062688C" w:rsidRPr="00F15F35" w:rsidRDefault="0062688C" w:rsidP="005947AC">
            <w:pPr>
              <w:pStyle w:val="a6"/>
              <w:jc w:val="left"/>
              <w:rPr>
                <w:color w:val="auto"/>
              </w:rPr>
            </w:pPr>
            <w:r w:rsidRPr="00F15F35">
              <w:rPr>
                <w:color w:val="auto"/>
              </w:rPr>
              <w:t>25,86</w:t>
            </w:r>
          </w:p>
        </w:tc>
        <w:tc>
          <w:tcPr>
            <w:tcW w:w="1098" w:type="dxa"/>
            <w:noWrap/>
            <w:hideMark/>
          </w:tcPr>
          <w:p w:rsidR="0062688C" w:rsidRPr="00F15F35" w:rsidRDefault="0062688C" w:rsidP="005947AC">
            <w:pPr>
              <w:pStyle w:val="a6"/>
              <w:jc w:val="left"/>
              <w:rPr>
                <w:color w:val="auto"/>
              </w:rPr>
            </w:pPr>
            <w:r w:rsidRPr="00F15F35">
              <w:rPr>
                <w:color w:val="auto"/>
              </w:rPr>
              <w:t>33,33</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Кошти фізичних осіб (з ощадними (депозитними) сертифікатами)</w:t>
            </w:r>
          </w:p>
        </w:tc>
        <w:tc>
          <w:tcPr>
            <w:tcW w:w="1097" w:type="dxa"/>
            <w:noWrap/>
            <w:hideMark/>
          </w:tcPr>
          <w:p w:rsidR="0062688C" w:rsidRPr="00F15F35" w:rsidRDefault="0062688C" w:rsidP="005947AC">
            <w:pPr>
              <w:pStyle w:val="a6"/>
              <w:jc w:val="left"/>
              <w:rPr>
                <w:color w:val="auto"/>
              </w:rPr>
            </w:pPr>
            <w:r w:rsidRPr="00F15F35">
              <w:rPr>
                <w:color w:val="auto"/>
              </w:rPr>
              <w:t>28,04</w:t>
            </w:r>
          </w:p>
        </w:tc>
        <w:tc>
          <w:tcPr>
            <w:tcW w:w="1097" w:type="dxa"/>
            <w:noWrap/>
            <w:hideMark/>
          </w:tcPr>
          <w:p w:rsidR="0062688C" w:rsidRPr="00F15F35" w:rsidRDefault="0062688C" w:rsidP="005947AC">
            <w:pPr>
              <w:pStyle w:val="a6"/>
              <w:jc w:val="left"/>
              <w:rPr>
                <w:color w:val="auto"/>
              </w:rPr>
            </w:pPr>
            <w:r w:rsidRPr="00F15F35">
              <w:rPr>
                <w:color w:val="auto"/>
              </w:rPr>
              <w:t>13,26</w:t>
            </w:r>
          </w:p>
        </w:tc>
        <w:tc>
          <w:tcPr>
            <w:tcW w:w="1097" w:type="dxa"/>
            <w:noWrap/>
            <w:hideMark/>
          </w:tcPr>
          <w:p w:rsidR="0062688C" w:rsidRPr="00F15F35" w:rsidRDefault="0062688C" w:rsidP="005947AC">
            <w:pPr>
              <w:pStyle w:val="a6"/>
              <w:jc w:val="left"/>
              <w:rPr>
                <w:color w:val="auto"/>
              </w:rPr>
            </w:pPr>
            <w:r w:rsidRPr="00F15F35">
              <w:rPr>
                <w:color w:val="auto"/>
              </w:rPr>
              <w:t>11,48</w:t>
            </w:r>
          </w:p>
        </w:tc>
        <w:tc>
          <w:tcPr>
            <w:tcW w:w="1098" w:type="dxa"/>
            <w:noWrap/>
            <w:hideMark/>
          </w:tcPr>
          <w:p w:rsidR="0062688C" w:rsidRPr="00F15F35" w:rsidRDefault="0062688C" w:rsidP="005947AC">
            <w:pPr>
              <w:pStyle w:val="a6"/>
              <w:jc w:val="left"/>
              <w:rPr>
                <w:color w:val="auto"/>
              </w:rPr>
            </w:pPr>
            <w:r w:rsidRPr="00F15F35">
              <w:rPr>
                <w:color w:val="auto"/>
              </w:rPr>
              <w:t>26,91</w:t>
            </w:r>
          </w:p>
        </w:tc>
      </w:tr>
      <w:tr w:rsidR="0062688C" w:rsidRPr="00F15F35" w:rsidTr="00B868DB">
        <w:trPr>
          <w:trHeight w:val="288"/>
        </w:trPr>
        <w:tc>
          <w:tcPr>
            <w:tcW w:w="5240" w:type="dxa"/>
            <w:noWrap/>
            <w:hideMark/>
          </w:tcPr>
          <w:p w:rsidR="0062688C" w:rsidRPr="00F15F35" w:rsidRDefault="0062688C" w:rsidP="005947AC">
            <w:pPr>
              <w:pStyle w:val="a6"/>
              <w:jc w:val="left"/>
              <w:rPr>
                <w:color w:val="auto"/>
              </w:rPr>
            </w:pPr>
            <w:r w:rsidRPr="00F15F35">
              <w:rPr>
                <w:color w:val="auto"/>
              </w:rPr>
              <w:t>Кошти небанківських фінансових установ</w:t>
            </w:r>
          </w:p>
        </w:tc>
        <w:tc>
          <w:tcPr>
            <w:tcW w:w="1097" w:type="dxa"/>
            <w:noWrap/>
            <w:hideMark/>
          </w:tcPr>
          <w:p w:rsidR="0062688C" w:rsidRPr="00F15F35" w:rsidRDefault="0062688C" w:rsidP="005947AC">
            <w:pPr>
              <w:pStyle w:val="a6"/>
              <w:jc w:val="left"/>
              <w:rPr>
                <w:color w:val="auto"/>
              </w:rPr>
            </w:pPr>
            <w:r w:rsidRPr="00F15F35">
              <w:rPr>
                <w:color w:val="auto"/>
              </w:rPr>
              <w:t>-37,36</w:t>
            </w:r>
          </w:p>
        </w:tc>
        <w:tc>
          <w:tcPr>
            <w:tcW w:w="1097" w:type="dxa"/>
            <w:noWrap/>
            <w:hideMark/>
          </w:tcPr>
          <w:p w:rsidR="0062688C" w:rsidRPr="00F15F35" w:rsidRDefault="0062688C" w:rsidP="005947AC">
            <w:pPr>
              <w:pStyle w:val="a6"/>
              <w:jc w:val="left"/>
              <w:rPr>
                <w:color w:val="auto"/>
              </w:rPr>
            </w:pPr>
            <w:r w:rsidRPr="00F15F35">
              <w:rPr>
                <w:color w:val="auto"/>
              </w:rPr>
              <w:t>10,62</w:t>
            </w:r>
          </w:p>
        </w:tc>
        <w:tc>
          <w:tcPr>
            <w:tcW w:w="1097" w:type="dxa"/>
            <w:noWrap/>
            <w:hideMark/>
          </w:tcPr>
          <w:p w:rsidR="0062688C" w:rsidRPr="00F15F35" w:rsidRDefault="0062688C" w:rsidP="005947AC">
            <w:pPr>
              <w:pStyle w:val="a6"/>
              <w:jc w:val="left"/>
              <w:rPr>
                <w:color w:val="auto"/>
              </w:rPr>
            </w:pPr>
            <w:r w:rsidRPr="00F15F35">
              <w:rPr>
                <w:color w:val="auto"/>
              </w:rPr>
              <w:t>16,00</w:t>
            </w:r>
          </w:p>
        </w:tc>
        <w:tc>
          <w:tcPr>
            <w:tcW w:w="1098" w:type="dxa"/>
            <w:noWrap/>
            <w:hideMark/>
          </w:tcPr>
          <w:p w:rsidR="0062688C" w:rsidRPr="00F15F35" w:rsidRDefault="0062688C" w:rsidP="005947AC">
            <w:pPr>
              <w:pStyle w:val="a6"/>
              <w:jc w:val="left"/>
              <w:rPr>
                <w:color w:val="auto"/>
              </w:rPr>
            </w:pPr>
            <w:r w:rsidRPr="00F15F35">
              <w:rPr>
                <w:color w:val="auto"/>
              </w:rPr>
              <w:t>32,62</w:t>
            </w:r>
          </w:p>
        </w:tc>
      </w:tr>
    </w:tbl>
    <w:p w:rsidR="0062688C" w:rsidRPr="00F15F35" w:rsidRDefault="0062688C" w:rsidP="00F113F3">
      <w:pPr>
        <w:ind w:firstLine="709"/>
        <w:rPr>
          <w:rFonts w:cs="Times New Roman"/>
          <w:sz w:val="24"/>
          <w:szCs w:val="24"/>
        </w:rPr>
      </w:pPr>
      <w:r w:rsidRPr="00F15F35">
        <w:rPr>
          <w:rFonts w:cs="Times New Roman"/>
          <w:sz w:val="24"/>
          <w:szCs w:val="24"/>
        </w:rPr>
        <w:t xml:space="preserve">Джерело: розраховано авторами на основі даних </w:t>
      </w:r>
      <w:r w:rsidR="005947AC" w:rsidRPr="00F15F35">
        <w:rPr>
          <w:rFonts w:cs="Times New Roman"/>
          <w:sz w:val="24"/>
          <w:szCs w:val="24"/>
        </w:rPr>
        <w:t xml:space="preserve">джерела </w:t>
      </w:r>
      <w:r w:rsidRPr="00F15F35">
        <w:rPr>
          <w:rFonts w:cs="Times New Roman"/>
          <w:sz w:val="24"/>
          <w:szCs w:val="24"/>
        </w:rPr>
        <w:t>[16]</w:t>
      </w:r>
    </w:p>
    <w:p w:rsidR="0062688C" w:rsidRPr="00F15F35" w:rsidRDefault="0062688C" w:rsidP="00F113F3">
      <w:pPr>
        <w:ind w:firstLine="709"/>
      </w:pPr>
    </w:p>
    <w:p w:rsidR="0062688C" w:rsidRPr="00F15F35" w:rsidRDefault="0062688C" w:rsidP="00F113F3">
      <w:pPr>
        <w:ind w:firstLine="709"/>
      </w:pPr>
      <w:r w:rsidRPr="00F15F35">
        <w:t>Якщо аналізувати динаміку основних показників протягом 2017</w:t>
      </w:r>
      <w:r w:rsidR="00B868DB" w:rsidRPr="00F15F35">
        <w:t>–</w:t>
      </w:r>
      <w:r w:rsidRPr="00F15F35">
        <w:t>2020 рр., т</w:t>
      </w:r>
      <w:r w:rsidR="00B868DB" w:rsidRPr="00F15F35">
        <w:t>о можна побачити тенденцію до зростання</w:t>
      </w:r>
      <w:r w:rsidRPr="00F15F35">
        <w:t xml:space="preserve"> більшості показників звіту про фінансовий стан.</w:t>
      </w:r>
      <w:r w:rsidR="00F113F3" w:rsidRPr="00F15F35">
        <w:t xml:space="preserve"> </w:t>
      </w:r>
      <w:r w:rsidRPr="00F15F35">
        <w:t>За пер</w:t>
      </w:r>
      <w:r w:rsidR="00B868DB" w:rsidRPr="00F15F35">
        <w:t>іод кризового 2020 р. спостерігалося</w:t>
      </w:r>
      <w:r w:rsidRPr="00F15F35">
        <w:t xml:space="preserve"> скорочення коштів в НБУ (-49,23%) та наданих клієнтам кредитів (-4,20%). Проте впливу пандемії COVID-19 </w:t>
      </w:r>
      <w:r w:rsidR="00B868DB" w:rsidRPr="00F15F35">
        <w:t>на зміну цих показників фактично</w:t>
      </w:r>
      <w:r w:rsidRPr="00F15F35">
        <w:t xml:space="preserve"> немає. Обсяг коштів в НБУ у 2019 р. значно зріс (на 119,85%), тому зменшення у 2020 р. доцільно трактувати як повернення до нормативної динаміки, що спостерігалася впродовж аналізовано</w:t>
      </w:r>
      <w:r w:rsidR="00B868DB" w:rsidRPr="00F15F35">
        <w:t>го періоду. Що</w:t>
      </w:r>
      <w:r w:rsidRPr="00F15F35">
        <w:t xml:space="preserve">до скорочення обсягу наданих клієнтам кредитів, то ця тенденція </w:t>
      </w:r>
      <w:r w:rsidR="00B868DB" w:rsidRPr="00F15F35">
        <w:t xml:space="preserve">була вже </w:t>
      </w:r>
      <w:r w:rsidRPr="00F15F35">
        <w:t>у 2019 р.</w:t>
      </w:r>
      <w:r w:rsidR="00F113F3" w:rsidRPr="00F15F35">
        <w:t xml:space="preserve"> </w:t>
      </w:r>
      <w:r w:rsidRPr="00F15F35">
        <w:t>(скорочення становило 5,17%), тому доцільно говорити про загальну тенденцію до зниження обсягів кредитування та необхідність вжиття заходів щодо стимулювання кредитування економіки</w:t>
      </w:r>
      <w:r w:rsidR="00B868DB" w:rsidRPr="00F15F35">
        <w:t>, що</w:t>
      </w:r>
      <w:r w:rsidRPr="00F15F35">
        <w:t xml:space="preserve"> </w:t>
      </w:r>
      <w:r w:rsidR="00B868DB" w:rsidRPr="00F15F35">
        <w:t xml:space="preserve">не лише </w:t>
      </w:r>
      <w:r w:rsidRPr="00F15F35">
        <w:t>д</w:t>
      </w:r>
      <w:r w:rsidR="00B868DB" w:rsidRPr="00F15F35">
        <w:t>ас</w:t>
      </w:r>
      <w:r w:rsidRPr="00F15F35">
        <w:t>ть</w:t>
      </w:r>
      <w:r w:rsidR="00B868DB" w:rsidRPr="00F15F35">
        <w:t xml:space="preserve"> змогу</w:t>
      </w:r>
      <w:r w:rsidRPr="00F15F35">
        <w:t xml:space="preserve"> пришвидшити вихід </w:t>
      </w:r>
      <w:r w:rsidR="00B868DB" w:rsidRPr="00F15F35">
        <w:t>із кризи, але й</w:t>
      </w:r>
      <w:r w:rsidRPr="00F15F35">
        <w:t xml:space="preserve"> сприятиме економічному зростанню у перспективі.</w:t>
      </w:r>
    </w:p>
    <w:p w:rsidR="0062688C" w:rsidRPr="00F15F35" w:rsidRDefault="0062688C" w:rsidP="00F113F3">
      <w:pPr>
        <w:ind w:firstLine="709"/>
      </w:pPr>
      <w:r w:rsidRPr="00F15F35">
        <w:t>Пасиви банків стабільно зростали, а темпи приросту були відносно ста</w:t>
      </w:r>
      <w:r w:rsidR="00B868DB" w:rsidRPr="00F15F35">
        <w:t>більними, т</w:t>
      </w:r>
      <w:r w:rsidRPr="00F15F35">
        <w:t>ому можна стверджувати, що пандемія COVID-19 не мала впливу на показники активів та пасивів українських бан</w:t>
      </w:r>
      <w:r w:rsidR="00B868DB" w:rsidRPr="00F15F35">
        <w:t xml:space="preserve">ків. Враховуючи темпи </w:t>
      </w:r>
      <w:r w:rsidR="00B868DB" w:rsidRPr="00F15F35">
        <w:lastRenderedPageBreak/>
        <w:t>інфляції в</w:t>
      </w:r>
      <w:r w:rsidRPr="00F15F35">
        <w:t xml:space="preserve"> аналізований період, банк</w:t>
      </w:r>
      <w:r w:rsidR="00B868DB" w:rsidRPr="00F15F35">
        <w:t>и змогли</w:t>
      </w:r>
      <w:r w:rsidRPr="00F15F35">
        <w:t xml:space="preserve"> наростити обсяги капіталу та сформувати ресурсну базу для фінансування економіки, незважаючи на негативні тенденції у різних секторах національного господарства.</w:t>
      </w:r>
    </w:p>
    <w:p w:rsidR="0062688C" w:rsidRPr="00F15F35" w:rsidRDefault="0062688C" w:rsidP="00F113F3">
      <w:pPr>
        <w:ind w:firstLine="709"/>
      </w:pPr>
      <w:r w:rsidRPr="00F15F35">
        <w:t>Також доцільно проаналізувати вплив пандемії COVID-19 на прибутки та збитки банків, адже значна частина видів економічної діяль</w:t>
      </w:r>
      <w:r w:rsidR="00B868DB" w:rsidRPr="00F15F35">
        <w:t xml:space="preserve">ності була збитковою або </w:t>
      </w:r>
      <w:proofErr w:type="spellStart"/>
      <w:r w:rsidR="00B868DB" w:rsidRPr="00F15F35">
        <w:t>низько</w:t>
      </w:r>
      <w:r w:rsidRPr="00F15F35">
        <w:t>прибутковою</w:t>
      </w:r>
      <w:proofErr w:type="spellEnd"/>
      <w:r w:rsidRPr="00F15F35">
        <w:t xml:space="preserve"> у період карантинних обмежень та </w:t>
      </w:r>
      <w:proofErr w:type="spellStart"/>
      <w:r w:rsidRPr="00F15F35">
        <w:t>локдауну</w:t>
      </w:r>
      <w:proofErr w:type="spellEnd"/>
      <w:r w:rsidRPr="00F15F35">
        <w:t>. Темпи приросту показників звіту про прибутки та збитки у розрахунку на 1 банк наведено в табл. 2</w:t>
      </w:r>
      <w:r w:rsidR="00B868DB" w:rsidRPr="00F15F35">
        <w:t>.</w:t>
      </w:r>
    </w:p>
    <w:p w:rsidR="00B868DB" w:rsidRPr="00F15F35" w:rsidRDefault="00B868DB" w:rsidP="00F113F3">
      <w:pPr>
        <w:ind w:firstLine="709"/>
        <w:jc w:val="right"/>
        <w:rPr>
          <w:rFonts w:cs="Times New Roman"/>
        </w:rPr>
      </w:pPr>
    </w:p>
    <w:p w:rsidR="0062688C" w:rsidRPr="00F15F35" w:rsidRDefault="0062688C" w:rsidP="00F113F3">
      <w:pPr>
        <w:ind w:firstLine="709"/>
        <w:jc w:val="right"/>
        <w:rPr>
          <w:rFonts w:cs="Times New Roman"/>
        </w:rPr>
      </w:pPr>
      <w:r w:rsidRPr="00F15F35">
        <w:rPr>
          <w:rFonts w:cs="Times New Roman"/>
        </w:rPr>
        <w:t>Таблиця 2</w:t>
      </w:r>
    </w:p>
    <w:p w:rsidR="0062688C" w:rsidRPr="00F15F35" w:rsidRDefault="0062688C" w:rsidP="00F113F3">
      <w:pPr>
        <w:ind w:firstLine="709"/>
        <w:jc w:val="center"/>
        <w:rPr>
          <w:rFonts w:cs="Times New Roman"/>
          <w:b/>
        </w:rPr>
      </w:pPr>
      <w:r w:rsidRPr="00F15F35">
        <w:rPr>
          <w:rFonts w:cs="Times New Roman"/>
          <w:b/>
        </w:rPr>
        <w:t>Темпи приросту показників звіту про прибутки та збитки українських банків</w:t>
      </w:r>
      <w:r w:rsidR="00B868DB" w:rsidRPr="00F15F35">
        <w:rPr>
          <w:rFonts w:cs="Times New Roman"/>
          <w:b/>
        </w:rPr>
        <w:t xml:space="preserve"> у розрахунку на 1 банк за 2017–</w:t>
      </w:r>
      <w:r w:rsidRPr="00F15F35">
        <w:rPr>
          <w:rFonts w:cs="Times New Roman"/>
          <w:b/>
        </w:rPr>
        <w:t>2020 рр.</w:t>
      </w:r>
    </w:p>
    <w:tbl>
      <w:tblPr>
        <w:tblStyle w:val="a5"/>
        <w:tblW w:w="9696" w:type="dxa"/>
        <w:tblLayout w:type="fixed"/>
        <w:tblCellMar>
          <w:left w:w="28" w:type="dxa"/>
          <w:right w:w="28" w:type="dxa"/>
        </w:tblCellMar>
        <w:tblLook w:val="04A0" w:firstRow="1" w:lastRow="0" w:firstColumn="1" w:lastColumn="0" w:noHBand="0" w:noVBand="1"/>
      </w:tblPr>
      <w:tblGrid>
        <w:gridCol w:w="4815"/>
        <w:gridCol w:w="1220"/>
        <w:gridCol w:w="1220"/>
        <w:gridCol w:w="1220"/>
        <w:gridCol w:w="1221"/>
      </w:tblGrid>
      <w:tr w:rsidR="0062688C" w:rsidRPr="00F15F35" w:rsidTr="00B868DB">
        <w:trPr>
          <w:trHeight w:val="288"/>
          <w:tblHeader/>
        </w:trPr>
        <w:tc>
          <w:tcPr>
            <w:tcW w:w="4815" w:type="dxa"/>
            <w:vMerge w:val="restart"/>
            <w:noWrap/>
            <w:vAlign w:val="center"/>
          </w:tcPr>
          <w:p w:rsidR="0062688C" w:rsidRPr="00F15F35" w:rsidRDefault="0062688C" w:rsidP="00B868DB">
            <w:pPr>
              <w:pStyle w:val="a6"/>
              <w:jc w:val="center"/>
              <w:rPr>
                <w:b/>
                <w:color w:val="auto"/>
              </w:rPr>
            </w:pPr>
            <w:r w:rsidRPr="00F15F35">
              <w:rPr>
                <w:b/>
                <w:color w:val="auto"/>
              </w:rPr>
              <w:t>Показники звіту про прибутки та збитки</w:t>
            </w:r>
          </w:p>
        </w:tc>
        <w:tc>
          <w:tcPr>
            <w:tcW w:w="4881" w:type="dxa"/>
            <w:gridSpan w:val="4"/>
            <w:noWrap/>
            <w:vAlign w:val="center"/>
          </w:tcPr>
          <w:p w:rsidR="0062688C" w:rsidRPr="00F15F35" w:rsidRDefault="0062688C" w:rsidP="00B868DB">
            <w:pPr>
              <w:pStyle w:val="a6"/>
              <w:jc w:val="center"/>
              <w:rPr>
                <w:rFonts w:cs="Times New Roman"/>
                <w:b/>
                <w:color w:val="auto"/>
                <w:szCs w:val="24"/>
              </w:rPr>
            </w:pPr>
            <w:r w:rsidRPr="00F15F35">
              <w:rPr>
                <w:rFonts w:cs="Times New Roman"/>
                <w:b/>
                <w:color w:val="auto"/>
                <w:szCs w:val="24"/>
              </w:rPr>
              <w:t>Темп приросту, %</w:t>
            </w:r>
          </w:p>
        </w:tc>
      </w:tr>
      <w:tr w:rsidR="0062688C" w:rsidRPr="00F15F35" w:rsidTr="00B868DB">
        <w:trPr>
          <w:trHeight w:val="288"/>
          <w:tblHeader/>
        </w:trPr>
        <w:tc>
          <w:tcPr>
            <w:tcW w:w="4815" w:type="dxa"/>
            <w:vMerge/>
            <w:noWrap/>
            <w:vAlign w:val="center"/>
          </w:tcPr>
          <w:p w:rsidR="0062688C" w:rsidRPr="00F15F35" w:rsidRDefault="0062688C" w:rsidP="00B868DB">
            <w:pPr>
              <w:pStyle w:val="a6"/>
              <w:jc w:val="center"/>
              <w:rPr>
                <w:b/>
                <w:color w:val="auto"/>
              </w:rPr>
            </w:pPr>
          </w:p>
        </w:tc>
        <w:tc>
          <w:tcPr>
            <w:tcW w:w="1220" w:type="dxa"/>
            <w:noWrap/>
            <w:vAlign w:val="center"/>
          </w:tcPr>
          <w:p w:rsidR="0062688C" w:rsidRPr="00F15F35" w:rsidRDefault="0062688C" w:rsidP="00B868DB">
            <w:pPr>
              <w:pStyle w:val="a6"/>
              <w:jc w:val="center"/>
              <w:rPr>
                <w:b/>
                <w:color w:val="auto"/>
              </w:rPr>
            </w:pPr>
            <w:r w:rsidRPr="00F15F35">
              <w:rPr>
                <w:b/>
                <w:color w:val="auto"/>
              </w:rPr>
              <w:t>2017 р.</w:t>
            </w:r>
          </w:p>
        </w:tc>
        <w:tc>
          <w:tcPr>
            <w:tcW w:w="1220" w:type="dxa"/>
            <w:noWrap/>
            <w:vAlign w:val="center"/>
          </w:tcPr>
          <w:p w:rsidR="0062688C" w:rsidRPr="00F15F35" w:rsidRDefault="0062688C" w:rsidP="00B868DB">
            <w:pPr>
              <w:pStyle w:val="a6"/>
              <w:jc w:val="center"/>
              <w:rPr>
                <w:b/>
                <w:color w:val="auto"/>
              </w:rPr>
            </w:pPr>
            <w:r w:rsidRPr="00F15F35">
              <w:rPr>
                <w:b/>
                <w:color w:val="auto"/>
              </w:rPr>
              <w:t>2018 р.</w:t>
            </w:r>
          </w:p>
        </w:tc>
        <w:tc>
          <w:tcPr>
            <w:tcW w:w="1220" w:type="dxa"/>
            <w:noWrap/>
            <w:vAlign w:val="center"/>
          </w:tcPr>
          <w:p w:rsidR="0062688C" w:rsidRPr="00F15F35" w:rsidRDefault="0062688C" w:rsidP="00B868DB">
            <w:pPr>
              <w:pStyle w:val="a6"/>
              <w:jc w:val="center"/>
              <w:rPr>
                <w:b/>
                <w:color w:val="auto"/>
              </w:rPr>
            </w:pPr>
            <w:r w:rsidRPr="00F15F35">
              <w:rPr>
                <w:b/>
                <w:color w:val="auto"/>
              </w:rPr>
              <w:t>2019</w:t>
            </w:r>
            <w:r w:rsidR="00B868DB" w:rsidRPr="00F15F35">
              <w:rPr>
                <w:b/>
                <w:color w:val="auto"/>
              </w:rPr>
              <w:t xml:space="preserve"> </w:t>
            </w:r>
            <w:r w:rsidRPr="00F15F35">
              <w:rPr>
                <w:b/>
                <w:color w:val="auto"/>
              </w:rPr>
              <w:t>р.</w:t>
            </w:r>
          </w:p>
        </w:tc>
        <w:tc>
          <w:tcPr>
            <w:tcW w:w="1221" w:type="dxa"/>
            <w:noWrap/>
            <w:vAlign w:val="center"/>
          </w:tcPr>
          <w:p w:rsidR="0062688C" w:rsidRPr="00F15F35" w:rsidRDefault="0062688C" w:rsidP="00B868DB">
            <w:pPr>
              <w:pStyle w:val="a6"/>
              <w:jc w:val="center"/>
              <w:rPr>
                <w:b/>
                <w:color w:val="auto"/>
              </w:rPr>
            </w:pPr>
            <w:r w:rsidRPr="00F15F35">
              <w:rPr>
                <w:b/>
                <w:color w:val="auto"/>
              </w:rPr>
              <w:t>2020 р.</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ДОХОДИ</w:t>
            </w:r>
          </w:p>
        </w:tc>
        <w:tc>
          <w:tcPr>
            <w:tcW w:w="1220" w:type="dxa"/>
            <w:noWrap/>
            <w:hideMark/>
          </w:tcPr>
          <w:p w:rsidR="0062688C" w:rsidRPr="00F15F35" w:rsidRDefault="0062688C" w:rsidP="00B868DB">
            <w:pPr>
              <w:pStyle w:val="a6"/>
              <w:jc w:val="left"/>
              <w:rPr>
                <w:color w:val="auto"/>
              </w:rPr>
            </w:pPr>
            <w:r w:rsidRPr="00F15F35">
              <w:rPr>
                <w:color w:val="auto"/>
              </w:rPr>
              <w:t>9,31</w:t>
            </w:r>
          </w:p>
        </w:tc>
        <w:tc>
          <w:tcPr>
            <w:tcW w:w="1220" w:type="dxa"/>
            <w:noWrap/>
            <w:hideMark/>
          </w:tcPr>
          <w:p w:rsidR="0062688C" w:rsidRPr="00F15F35" w:rsidRDefault="0062688C" w:rsidP="00B868DB">
            <w:pPr>
              <w:pStyle w:val="a6"/>
              <w:jc w:val="left"/>
              <w:rPr>
                <w:color w:val="auto"/>
              </w:rPr>
            </w:pPr>
            <w:r w:rsidRPr="00F15F35">
              <w:rPr>
                <w:color w:val="auto"/>
              </w:rPr>
              <w:t>22,34</w:t>
            </w:r>
          </w:p>
        </w:tc>
        <w:tc>
          <w:tcPr>
            <w:tcW w:w="1220" w:type="dxa"/>
            <w:noWrap/>
            <w:hideMark/>
          </w:tcPr>
          <w:p w:rsidR="0062688C" w:rsidRPr="00F15F35" w:rsidRDefault="0062688C" w:rsidP="00B868DB">
            <w:pPr>
              <w:pStyle w:val="a6"/>
              <w:jc w:val="left"/>
              <w:rPr>
                <w:color w:val="auto"/>
              </w:rPr>
            </w:pPr>
            <w:r w:rsidRPr="00F15F35">
              <w:rPr>
                <w:color w:val="auto"/>
              </w:rPr>
              <w:t>22,01</w:t>
            </w:r>
          </w:p>
        </w:tc>
        <w:tc>
          <w:tcPr>
            <w:tcW w:w="1221" w:type="dxa"/>
            <w:noWrap/>
            <w:hideMark/>
          </w:tcPr>
          <w:p w:rsidR="0062688C" w:rsidRPr="00F15F35" w:rsidRDefault="0062688C" w:rsidP="00B868DB">
            <w:pPr>
              <w:pStyle w:val="a6"/>
              <w:jc w:val="left"/>
              <w:rPr>
                <w:color w:val="auto"/>
              </w:rPr>
            </w:pPr>
            <w:r w:rsidRPr="00F15F35">
              <w:rPr>
                <w:color w:val="auto"/>
              </w:rPr>
              <w:t>5,55</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Процентні доходи</w:t>
            </w:r>
          </w:p>
        </w:tc>
        <w:tc>
          <w:tcPr>
            <w:tcW w:w="1220" w:type="dxa"/>
            <w:noWrap/>
            <w:hideMark/>
          </w:tcPr>
          <w:p w:rsidR="0062688C" w:rsidRPr="00F15F35" w:rsidRDefault="0062688C" w:rsidP="00B868DB">
            <w:pPr>
              <w:pStyle w:val="a6"/>
              <w:jc w:val="left"/>
              <w:rPr>
                <w:color w:val="auto"/>
              </w:rPr>
            </w:pPr>
            <w:r w:rsidRPr="00F15F35">
              <w:rPr>
                <w:color w:val="auto"/>
              </w:rPr>
              <w:t>6,90</w:t>
            </w:r>
          </w:p>
        </w:tc>
        <w:tc>
          <w:tcPr>
            <w:tcW w:w="1220" w:type="dxa"/>
            <w:noWrap/>
            <w:hideMark/>
          </w:tcPr>
          <w:p w:rsidR="0062688C" w:rsidRPr="00F15F35" w:rsidRDefault="0062688C" w:rsidP="00B868DB">
            <w:pPr>
              <w:pStyle w:val="a6"/>
              <w:jc w:val="left"/>
              <w:rPr>
                <w:color w:val="auto"/>
              </w:rPr>
            </w:pPr>
            <w:r w:rsidRPr="00F15F35">
              <w:rPr>
                <w:color w:val="auto"/>
              </w:rPr>
              <w:t>20,92</w:t>
            </w:r>
          </w:p>
        </w:tc>
        <w:tc>
          <w:tcPr>
            <w:tcW w:w="1220" w:type="dxa"/>
            <w:noWrap/>
            <w:hideMark/>
          </w:tcPr>
          <w:p w:rsidR="0062688C" w:rsidRPr="00F15F35" w:rsidRDefault="0062688C" w:rsidP="00B868DB">
            <w:pPr>
              <w:pStyle w:val="a6"/>
              <w:jc w:val="left"/>
              <w:rPr>
                <w:color w:val="auto"/>
              </w:rPr>
            </w:pPr>
            <w:r w:rsidRPr="00F15F35">
              <w:rPr>
                <w:color w:val="auto"/>
              </w:rPr>
              <w:t>11,53</w:t>
            </w:r>
          </w:p>
        </w:tc>
        <w:tc>
          <w:tcPr>
            <w:tcW w:w="1221" w:type="dxa"/>
            <w:noWrap/>
            <w:hideMark/>
          </w:tcPr>
          <w:p w:rsidR="0062688C" w:rsidRPr="00F15F35" w:rsidRDefault="0062688C" w:rsidP="00B868DB">
            <w:pPr>
              <w:pStyle w:val="a6"/>
              <w:jc w:val="left"/>
              <w:rPr>
                <w:color w:val="auto"/>
              </w:rPr>
            </w:pPr>
            <w:r w:rsidRPr="00F15F35">
              <w:rPr>
                <w:color w:val="auto"/>
              </w:rPr>
              <w:t>-1,05</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Комісійні доходи</w:t>
            </w:r>
          </w:p>
        </w:tc>
        <w:tc>
          <w:tcPr>
            <w:tcW w:w="1220" w:type="dxa"/>
            <w:noWrap/>
            <w:hideMark/>
          </w:tcPr>
          <w:p w:rsidR="0062688C" w:rsidRPr="00F15F35" w:rsidRDefault="0062688C" w:rsidP="00B868DB">
            <w:pPr>
              <w:pStyle w:val="a6"/>
              <w:jc w:val="left"/>
              <w:rPr>
                <w:color w:val="auto"/>
              </w:rPr>
            </w:pPr>
            <w:r w:rsidRPr="00F15F35">
              <w:rPr>
                <w:color w:val="auto"/>
              </w:rPr>
              <w:t>38,63</w:t>
            </w:r>
          </w:p>
        </w:tc>
        <w:tc>
          <w:tcPr>
            <w:tcW w:w="1220" w:type="dxa"/>
            <w:noWrap/>
            <w:hideMark/>
          </w:tcPr>
          <w:p w:rsidR="0062688C" w:rsidRPr="00F15F35" w:rsidRDefault="0062688C" w:rsidP="00B868DB">
            <w:pPr>
              <w:pStyle w:val="a6"/>
              <w:jc w:val="left"/>
              <w:rPr>
                <w:color w:val="auto"/>
              </w:rPr>
            </w:pPr>
            <w:r w:rsidRPr="00F15F35">
              <w:rPr>
                <w:color w:val="auto"/>
              </w:rPr>
              <w:t>46,15</w:t>
            </w:r>
          </w:p>
        </w:tc>
        <w:tc>
          <w:tcPr>
            <w:tcW w:w="1220" w:type="dxa"/>
            <w:noWrap/>
            <w:hideMark/>
          </w:tcPr>
          <w:p w:rsidR="0062688C" w:rsidRPr="00F15F35" w:rsidRDefault="0062688C" w:rsidP="00B868DB">
            <w:pPr>
              <w:pStyle w:val="a6"/>
              <w:jc w:val="left"/>
              <w:rPr>
                <w:color w:val="auto"/>
              </w:rPr>
            </w:pPr>
            <w:r w:rsidRPr="00F15F35">
              <w:rPr>
                <w:color w:val="auto"/>
              </w:rPr>
              <w:t>25,00</w:t>
            </w:r>
          </w:p>
        </w:tc>
        <w:tc>
          <w:tcPr>
            <w:tcW w:w="1221" w:type="dxa"/>
            <w:noWrap/>
            <w:hideMark/>
          </w:tcPr>
          <w:p w:rsidR="0062688C" w:rsidRPr="00F15F35" w:rsidRDefault="0062688C" w:rsidP="00B868DB">
            <w:pPr>
              <w:pStyle w:val="a6"/>
              <w:jc w:val="left"/>
              <w:rPr>
                <w:color w:val="auto"/>
              </w:rPr>
            </w:pPr>
            <w:r w:rsidRPr="00F15F35">
              <w:rPr>
                <w:color w:val="auto"/>
              </w:rPr>
              <w:t>16,95</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Результат від переоцінки та від операцій купівлі-продажу валюти</w:t>
            </w:r>
          </w:p>
        </w:tc>
        <w:tc>
          <w:tcPr>
            <w:tcW w:w="1220" w:type="dxa"/>
            <w:noWrap/>
            <w:hideMark/>
          </w:tcPr>
          <w:p w:rsidR="0062688C" w:rsidRPr="00F15F35" w:rsidRDefault="0062688C" w:rsidP="00B868DB">
            <w:pPr>
              <w:pStyle w:val="a6"/>
              <w:jc w:val="left"/>
              <w:rPr>
                <w:color w:val="auto"/>
              </w:rPr>
            </w:pPr>
            <w:r w:rsidRPr="00F15F35">
              <w:rPr>
                <w:color w:val="auto"/>
              </w:rPr>
              <w:t>2,60</w:t>
            </w:r>
          </w:p>
        </w:tc>
        <w:tc>
          <w:tcPr>
            <w:tcW w:w="1220" w:type="dxa"/>
            <w:noWrap/>
            <w:hideMark/>
          </w:tcPr>
          <w:p w:rsidR="0062688C" w:rsidRPr="00F15F35" w:rsidRDefault="0062688C" w:rsidP="00B868DB">
            <w:pPr>
              <w:pStyle w:val="a6"/>
              <w:jc w:val="left"/>
              <w:rPr>
                <w:color w:val="auto"/>
              </w:rPr>
            </w:pPr>
            <w:r w:rsidRPr="00F15F35">
              <w:rPr>
                <w:color w:val="auto"/>
              </w:rPr>
              <w:t>-72,68</w:t>
            </w:r>
          </w:p>
        </w:tc>
        <w:tc>
          <w:tcPr>
            <w:tcW w:w="1220" w:type="dxa"/>
            <w:noWrap/>
            <w:hideMark/>
          </w:tcPr>
          <w:p w:rsidR="0062688C" w:rsidRPr="00F15F35" w:rsidRDefault="0062688C" w:rsidP="00B868DB">
            <w:pPr>
              <w:pStyle w:val="a6"/>
              <w:jc w:val="left"/>
              <w:rPr>
                <w:color w:val="auto"/>
              </w:rPr>
            </w:pPr>
            <w:r w:rsidRPr="00F15F35">
              <w:rPr>
                <w:color w:val="auto"/>
              </w:rPr>
              <w:t>798,96</w:t>
            </w:r>
          </w:p>
        </w:tc>
        <w:tc>
          <w:tcPr>
            <w:tcW w:w="1221" w:type="dxa"/>
            <w:noWrap/>
            <w:hideMark/>
          </w:tcPr>
          <w:p w:rsidR="0062688C" w:rsidRPr="00F15F35" w:rsidRDefault="0062688C" w:rsidP="00B868DB">
            <w:pPr>
              <w:pStyle w:val="a6"/>
              <w:jc w:val="left"/>
              <w:rPr>
                <w:color w:val="auto"/>
              </w:rPr>
            </w:pPr>
            <w:r w:rsidRPr="00F15F35">
              <w:rPr>
                <w:color w:val="auto"/>
              </w:rPr>
              <w:t>35,72</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Інші операційні доходи</w:t>
            </w:r>
          </w:p>
        </w:tc>
        <w:tc>
          <w:tcPr>
            <w:tcW w:w="1220" w:type="dxa"/>
            <w:noWrap/>
            <w:hideMark/>
          </w:tcPr>
          <w:p w:rsidR="0062688C" w:rsidRPr="00F15F35" w:rsidRDefault="0062688C" w:rsidP="00B868DB">
            <w:pPr>
              <w:pStyle w:val="a6"/>
              <w:jc w:val="left"/>
              <w:rPr>
                <w:color w:val="auto"/>
              </w:rPr>
            </w:pPr>
            <w:r w:rsidRPr="00F15F35">
              <w:rPr>
                <w:color w:val="auto"/>
              </w:rPr>
              <w:t>-11,46</w:t>
            </w:r>
          </w:p>
        </w:tc>
        <w:tc>
          <w:tcPr>
            <w:tcW w:w="1220" w:type="dxa"/>
            <w:noWrap/>
            <w:hideMark/>
          </w:tcPr>
          <w:p w:rsidR="0062688C" w:rsidRPr="00F15F35" w:rsidRDefault="0062688C" w:rsidP="00B868DB">
            <w:pPr>
              <w:pStyle w:val="a6"/>
              <w:jc w:val="left"/>
              <w:rPr>
                <w:color w:val="auto"/>
              </w:rPr>
            </w:pPr>
            <w:r w:rsidRPr="00F15F35">
              <w:rPr>
                <w:color w:val="auto"/>
              </w:rPr>
              <w:t>25,92</w:t>
            </w:r>
          </w:p>
        </w:tc>
        <w:tc>
          <w:tcPr>
            <w:tcW w:w="1220" w:type="dxa"/>
            <w:noWrap/>
            <w:hideMark/>
          </w:tcPr>
          <w:p w:rsidR="0062688C" w:rsidRPr="00F15F35" w:rsidRDefault="0062688C" w:rsidP="00B868DB">
            <w:pPr>
              <w:pStyle w:val="a6"/>
              <w:jc w:val="left"/>
              <w:rPr>
                <w:color w:val="auto"/>
              </w:rPr>
            </w:pPr>
            <w:r w:rsidRPr="00F15F35">
              <w:rPr>
                <w:color w:val="auto"/>
              </w:rPr>
              <w:t>-2,62</w:t>
            </w:r>
          </w:p>
        </w:tc>
        <w:tc>
          <w:tcPr>
            <w:tcW w:w="1221" w:type="dxa"/>
            <w:noWrap/>
            <w:hideMark/>
          </w:tcPr>
          <w:p w:rsidR="0062688C" w:rsidRPr="00F15F35" w:rsidRDefault="0062688C" w:rsidP="00B868DB">
            <w:pPr>
              <w:pStyle w:val="a6"/>
              <w:jc w:val="left"/>
              <w:rPr>
                <w:color w:val="auto"/>
              </w:rPr>
            </w:pPr>
            <w:r w:rsidRPr="00F15F35">
              <w:rPr>
                <w:color w:val="auto"/>
              </w:rPr>
              <w:t>-12,48</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Інші доходи</w:t>
            </w:r>
          </w:p>
        </w:tc>
        <w:tc>
          <w:tcPr>
            <w:tcW w:w="1220" w:type="dxa"/>
            <w:noWrap/>
            <w:hideMark/>
          </w:tcPr>
          <w:p w:rsidR="0062688C" w:rsidRPr="00F15F35" w:rsidRDefault="0062688C" w:rsidP="00B868DB">
            <w:pPr>
              <w:pStyle w:val="a6"/>
              <w:jc w:val="left"/>
              <w:rPr>
                <w:color w:val="auto"/>
              </w:rPr>
            </w:pPr>
            <w:r w:rsidRPr="00F15F35">
              <w:rPr>
                <w:color w:val="auto"/>
              </w:rPr>
              <w:t>-59,98</w:t>
            </w:r>
          </w:p>
        </w:tc>
        <w:tc>
          <w:tcPr>
            <w:tcW w:w="1220" w:type="dxa"/>
            <w:noWrap/>
            <w:hideMark/>
          </w:tcPr>
          <w:p w:rsidR="0062688C" w:rsidRPr="00F15F35" w:rsidRDefault="0062688C" w:rsidP="00B868DB">
            <w:pPr>
              <w:pStyle w:val="a6"/>
              <w:jc w:val="left"/>
              <w:rPr>
                <w:color w:val="auto"/>
              </w:rPr>
            </w:pPr>
            <w:r w:rsidRPr="00F15F35">
              <w:rPr>
                <w:color w:val="auto"/>
              </w:rPr>
              <w:t>42,81</w:t>
            </w:r>
          </w:p>
        </w:tc>
        <w:tc>
          <w:tcPr>
            <w:tcW w:w="1220" w:type="dxa"/>
            <w:noWrap/>
            <w:hideMark/>
          </w:tcPr>
          <w:p w:rsidR="0062688C" w:rsidRPr="00F15F35" w:rsidRDefault="0062688C" w:rsidP="00B868DB">
            <w:pPr>
              <w:pStyle w:val="a6"/>
              <w:jc w:val="left"/>
              <w:rPr>
                <w:color w:val="auto"/>
              </w:rPr>
            </w:pPr>
            <w:r w:rsidRPr="00F15F35">
              <w:rPr>
                <w:color w:val="auto"/>
              </w:rPr>
              <w:t>59,42</w:t>
            </w:r>
          </w:p>
        </w:tc>
        <w:tc>
          <w:tcPr>
            <w:tcW w:w="1221" w:type="dxa"/>
            <w:noWrap/>
            <w:hideMark/>
          </w:tcPr>
          <w:p w:rsidR="0062688C" w:rsidRPr="00F15F35" w:rsidRDefault="0062688C" w:rsidP="00B868DB">
            <w:pPr>
              <w:pStyle w:val="a6"/>
              <w:jc w:val="left"/>
              <w:rPr>
                <w:color w:val="auto"/>
              </w:rPr>
            </w:pPr>
            <w:r w:rsidRPr="00F15F35">
              <w:rPr>
                <w:color w:val="auto"/>
              </w:rPr>
              <w:t>-2,82</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Повернення списаних активів</w:t>
            </w:r>
          </w:p>
        </w:tc>
        <w:tc>
          <w:tcPr>
            <w:tcW w:w="1220" w:type="dxa"/>
            <w:noWrap/>
            <w:hideMark/>
          </w:tcPr>
          <w:p w:rsidR="0062688C" w:rsidRPr="00F15F35" w:rsidRDefault="0062688C" w:rsidP="00B868DB">
            <w:pPr>
              <w:pStyle w:val="a6"/>
              <w:jc w:val="left"/>
              <w:rPr>
                <w:color w:val="auto"/>
              </w:rPr>
            </w:pPr>
            <w:r w:rsidRPr="00F15F35">
              <w:rPr>
                <w:color w:val="auto"/>
              </w:rPr>
              <w:t>-27,51</w:t>
            </w:r>
          </w:p>
        </w:tc>
        <w:tc>
          <w:tcPr>
            <w:tcW w:w="1220" w:type="dxa"/>
            <w:noWrap/>
            <w:hideMark/>
          </w:tcPr>
          <w:p w:rsidR="0062688C" w:rsidRPr="00F15F35" w:rsidRDefault="0062688C" w:rsidP="00B868DB">
            <w:pPr>
              <w:pStyle w:val="a6"/>
              <w:jc w:val="left"/>
              <w:rPr>
                <w:color w:val="auto"/>
              </w:rPr>
            </w:pPr>
            <w:r w:rsidRPr="00F15F35">
              <w:rPr>
                <w:color w:val="auto"/>
              </w:rPr>
              <w:t>-47,05</w:t>
            </w:r>
          </w:p>
        </w:tc>
        <w:tc>
          <w:tcPr>
            <w:tcW w:w="1220" w:type="dxa"/>
            <w:noWrap/>
            <w:hideMark/>
          </w:tcPr>
          <w:p w:rsidR="0062688C" w:rsidRPr="00F15F35" w:rsidRDefault="0062688C" w:rsidP="00B868DB">
            <w:pPr>
              <w:pStyle w:val="a6"/>
              <w:jc w:val="left"/>
              <w:rPr>
                <w:color w:val="auto"/>
              </w:rPr>
            </w:pPr>
            <w:r w:rsidRPr="00F15F35">
              <w:rPr>
                <w:color w:val="auto"/>
              </w:rPr>
              <w:t>75,42</w:t>
            </w:r>
          </w:p>
        </w:tc>
        <w:tc>
          <w:tcPr>
            <w:tcW w:w="1221" w:type="dxa"/>
            <w:noWrap/>
            <w:hideMark/>
          </w:tcPr>
          <w:p w:rsidR="0062688C" w:rsidRPr="00F15F35" w:rsidRDefault="0062688C" w:rsidP="00B868DB">
            <w:pPr>
              <w:pStyle w:val="a6"/>
              <w:jc w:val="left"/>
              <w:rPr>
                <w:color w:val="auto"/>
              </w:rPr>
            </w:pPr>
            <w:r w:rsidRPr="00F15F35">
              <w:rPr>
                <w:color w:val="auto"/>
              </w:rPr>
              <w:t>-13,76</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ВИТРАТИ</w:t>
            </w:r>
          </w:p>
        </w:tc>
        <w:tc>
          <w:tcPr>
            <w:tcW w:w="1220" w:type="dxa"/>
            <w:noWrap/>
            <w:hideMark/>
          </w:tcPr>
          <w:p w:rsidR="0062688C" w:rsidRPr="00F15F35" w:rsidRDefault="0062688C" w:rsidP="00B868DB">
            <w:pPr>
              <w:pStyle w:val="a6"/>
              <w:jc w:val="left"/>
              <w:rPr>
                <w:color w:val="auto"/>
              </w:rPr>
            </w:pPr>
            <w:r w:rsidRPr="00F15F35">
              <w:rPr>
                <w:color w:val="auto"/>
              </w:rPr>
              <w:t>-31,60</w:t>
            </w:r>
          </w:p>
        </w:tc>
        <w:tc>
          <w:tcPr>
            <w:tcW w:w="1220" w:type="dxa"/>
            <w:noWrap/>
            <w:hideMark/>
          </w:tcPr>
          <w:p w:rsidR="0062688C" w:rsidRPr="00F15F35" w:rsidRDefault="0062688C" w:rsidP="00B868DB">
            <w:pPr>
              <w:pStyle w:val="a6"/>
              <w:jc w:val="left"/>
              <w:rPr>
                <w:color w:val="auto"/>
              </w:rPr>
            </w:pPr>
            <w:r w:rsidRPr="00F15F35">
              <w:rPr>
                <w:color w:val="auto"/>
              </w:rPr>
              <w:t>-5,13</w:t>
            </w:r>
          </w:p>
        </w:tc>
        <w:tc>
          <w:tcPr>
            <w:tcW w:w="1220" w:type="dxa"/>
            <w:noWrap/>
            <w:hideMark/>
          </w:tcPr>
          <w:p w:rsidR="0062688C" w:rsidRPr="00F15F35" w:rsidRDefault="0062688C" w:rsidP="00B868DB">
            <w:pPr>
              <w:pStyle w:val="a6"/>
              <w:jc w:val="left"/>
              <w:rPr>
                <w:color w:val="auto"/>
              </w:rPr>
            </w:pPr>
            <w:r w:rsidRPr="00F15F35">
              <w:rPr>
                <w:color w:val="auto"/>
              </w:rPr>
              <w:t>4,09</w:t>
            </w:r>
          </w:p>
        </w:tc>
        <w:tc>
          <w:tcPr>
            <w:tcW w:w="1221" w:type="dxa"/>
            <w:noWrap/>
            <w:hideMark/>
          </w:tcPr>
          <w:p w:rsidR="0062688C" w:rsidRPr="00F15F35" w:rsidRDefault="0062688C" w:rsidP="00B868DB">
            <w:pPr>
              <w:pStyle w:val="a6"/>
              <w:jc w:val="left"/>
              <w:rPr>
                <w:color w:val="auto"/>
              </w:rPr>
            </w:pPr>
            <w:r w:rsidRPr="00F15F35">
              <w:rPr>
                <w:color w:val="auto"/>
              </w:rPr>
              <w:t>15,92</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Процентні витрати</w:t>
            </w:r>
          </w:p>
        </w:tc>
        <w:tc>
          <w:tcPr>
            <w:tcW w:w="1220" w:type="dxa"/>
            <w:noWrap/>
            <w:hideMark/>
          </w:tcPr>
          <w:p w:rsidR="0062688C" w:rsidRPr="00F15F35" w:rsidRDefault="0062688C" w:rsidP="00B868DB">
            <w:pPr>
              <w:pStyle w:val="a6"/>
              <w:jc w:val="left"/>
              <w:rPr>
                <w:color w:val="auto"/>
              </w:rPr>
            </w:pPr>
            <w:r w:rsidRPr="00F15F35">
              <w:rPr>
                <w:color w:val="auto"/>
              </w:rPr>
              <w:t>-9,33</w:t>
            </w:r>
          </w:p>
        </w:tc>
        <w:tc>
          <w:tcPr>
            <w:tcW w:w="1220" w:type="dxa"/>
            <w:noWrap/>
            <w:hideMark/>
          </w:tcPr>
          <w:p w:rsidR="0062688C" w:rsidRPr="00F15F35" w:rsidRDefault="0062688C" w:rsidP="00B868DB">
            <w:pPr>
              <w:pStyle w:val="a6"/>
              <w:jc w:val="left"/>
              <w:rPr>
                <w:color w:val="auto"/>
              </w:rPr>
            </w:pPr>
            <w:r w:rsidRPr="00F15F35">
              <w:rPr>
                <w:color w:val="auto"/>
              </w:rPr>
              <w:t>1,68</w:t>
            </w:r>
          </w:p>
        </w:tc>
        <w:tc>
          <w:tcPr>
            <w:tcW w:w="1220" w:type="dxa"/>
            <w:noWrap/>
            <w:hideMark/>
          </w:tcPr>
          <w:p w:rsidR="0062688C" w:rsidRPr="00F15F35" w:rsidRDefault="0062688C" w:rsidP="00B868DB">
            <w:pPr>
              <w:pStyle w:val="a6"/>
              <w:jc w:val="left"/>
              <w:rPr>
                <w:color w:val="auto"/>
              </w:rPr>
            </w:pPr>
            <w:r w:rsidRPr="00F15F35">
              <w:rPr>
                <w:color w:val="auto"/>
              </w:rPr>
              <w:t>12,22</w:t>
            </w:r>
          </w:p>
        </w:tc>
        <w:tc>
          <w:tcPr>
            <w:tcW w:w="1221" w:type="dxa"/>
            <w:noWrap/>
            <w:hideMark/>
          </w:tcPr>
          <w:p w:rsidR="0062688C" w:rsidRPr="00F15F35" w:rsidRDefault="0062688C" w:rsidP="00B868DB">
            <w:pPr>
              <w:pStyle w:val="a6"/>
              <w:jc w:val="left"/>
              <w:rPr>
                <w:color w:val="auto"/>
              </w:rPr>
            </w:pPr>
            <w:r w:rsidRPr="00F15F35">
              <w:rPr>
                <w:color w:val="auto"/>
              </w:rPr>
              <w:t>-12,76</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Комісійні витрати</w:t>
            </w:r>
          </w:p>
        </w:tc>
        <w:tc>
          <w:tcPr>
            <w:tcW w:w="1220" w:type="dxa"/>
            <w:noWrap/>
            <w:hideMark/>
          </w:tcPr>
          <w:p w:rsidR="0062688C" w:rsidRPr="00F15F35" w:rsidRDefault="0062688C" w:rsidP="00B868DB">
            <w:pPr>
              <w:pStyle w:val="a6"/>
              <w:jc w:val="left"/>
              <w:rPr>
                <w:color w:val="auto"/>
              </w:rPr>
            </w:pPr>
            <w:r w:rsidRPr="00F15F35">
              <w:rPr>
                <w:color w:val="auto"/>
              </w:rPr>
              <w:t>57,30</w:t>
            </w:r>
          </w:p>
        </w:tc>
        <w:tc>
          <w:tcPr>
            <w:tcW w:w="1220" w:type="dxa"/>
            <w:noWrap/>
            <w:hideMark/>
          </w:tcPr>
          <w:p w:rsidR="0062688C" w:rsidRPr="00F15F35" w:rsidRDefault="0062688C" w:rsidP="00B868DB">
            <w:pPr>
              <w:pStyle w:val="a6"/>
              <w:jc w:val="left"/>
              <w:rPr>
                <w:color w:val="auto"/>
              </w:rPr>
            </w:pPr>
            <w:r w:rsidRPr="00F15F35">
              <w:rPr>
                <w:color w:val="auto"/>
              </w:rPr>
              <w:t>45,22</w:t>
            </w:r>
          </w:p>
        </w:tc>
        <w:tc>
          <w:tcPr>
            <w:tcW w:w="1220" w:type="dxa"/>
            <w:noWrap/>
            <w:hideMark/>
          </w:tcPr>
          <w:p w:rsidR="0062688C" w:rsidRPr="00F15F35" w:rsidRDefault="0062688C" w:rsidP="00B868DB">
            <w:pPr>
              <w:pStyle w:val="a6"/>
              <w:jc w:val="left"/>
              <w:rPr>
                <w:color w:val="auto"/>
              </w:rPr>
            </w:pPr>
            <w:r w:rsidRPr="00F15F35">
              <w:rPr>
                <w:color w:val="auto"/>
              </w:rPr>
              <w:t>41,19</w:t>
            </w:r>
          </w:p>
        </w:tc>
        <w:tc>
          <w:tcPr>
            <w:tcW w:w="1221" w:type="dxa"/>
            <w:noWrap/>
            <w:hideMark/>
          </w:tcPr>
          <w:p w:rsidR="0062688C" w:rsidRPr="00F15F35" w:rsidRDefault="0062688C" w:rsidP="00B868DB">
            <w:pPr>
              <w:pStyle w:val="a6"/>
              <w:jc w:val="left"/>
              <w:rPr>
                <w:color w:val="auto"/>
              </w:rPr>
            </w:pPr>
            <w:r w:rsidRPr="00F15F35">
              <w:rPr>
                <w:color w:val="auto"/>
              </w:rPr>
              <w:t>36,89</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Інші операційні витрати</w:t>
            </w:r>
          </w:p>
        </w:tc>
        <w:tc>
          <w:tcPr>
            <w:tcW w:w="1220" w:type="dxa"/>
            <w:noWrap/>
            <w:hideMark/>
          </w:tcPr>
          <w:p w:rsidR="0062688C" w:rsidRPr="00F15F35" w:rsidRDefault="0062688C" w:rsidP="00B868DB">
            <w:pPr>
              <w:pStyle w:val="a6"/>
              <w:jc w:val="left"/>
              <w:rPr>
                <w:color w:val="auto"/>
              </w:rPr>
            </w:pPr>
            <w:r w:rsidRPr="00F15F35">
              <w:rPr>
                <w:color w:val="auto"/>
              </w:rPr>
              <w:t>25,64</w:t>
            </w:r>
          </w:p>
        </w:tc>
        <w:tc>
          <w:tcPr>
            <w:tcW w:w="1220" w:type="dxa"/>
            <w:noWrap/>
            <w:hideMark/>
          </w:tcPr>
          <w:p w:rsidR="0062688C" w:rsidRPr="00F15F35" w:rsidRDefault="0062688C" w:rsidP="00B868DB">
            <w:pPr>
              <w:pStyle w:val="a6"/>
              <w:jc w:val="left"/>
              <w:rPr>
                <w:color w:val="auto"/>
              </w:rPr>
            </w:pPr>
            <w:r w:rsidRPr="00F15F35">
              <w:rPr>
                <w:color w:val="auto"/>
              </w:rPr>
              <w:t>52,67</w:t>
            </w:r>
          </w:p>
        </w:tc>
        <w:tc>
          <w:tcPr>
            <w:tcW w:w="1220" w:type="dxa"/>
            <w:noWrap/>
            <w:hideMark/>
          </w:tcPr>
          <w:p w:rsidR="0062688C" w:rsidRPr="00F15F35" w:rsidRDefault="0062688C" w:rsidP="00B868DB">
            <w:pPr>
              <w:pStyle w:val="a6"/>
              <w:jc w:val="left"/>
              <w:rPr>
                <w:color w:val="auto"/>
              </w:rPr>
            </w:pPr>
            <w:r w:rsidRPr="00F15F35">
              <w:rPr>
                <w:color w:val="auto"/>
              </w:rPr>
              <w:t>-27,95</w:t>
            </w:r>
          </w:p>
        </w:tc>
        <w:tc>
          <w:tcPr>
            <w:tcW w:w="1221" w:type="dxa"/>
            <w:noWrap/>
            <w:hideMark/>
          </w:tcPr>
          <w:p w:rsidR="0062688C" w:rsidRPr="00F15F35" w:rsidRDefault="0062688C" w:rsidP="00B868DB">
            <w:pPr>
              <w:pStyle w:val="a6"/>
              <w:jc w:val="left"/>
              <w:rPr>
                <w:color w:val="auto"/>
              </w:rPr>
            </w:pPr>
            <w:r w:rsidRPr="00F15F35">
              <w:rPr>
                <w:color w:val="auto"/>
              </w:rPr>
              <w:t>39,85</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Загальні адміністративні витрати</w:t>
            </w:r>
          </w:p>
        </w:tc>
        <w:tc>
          <w:tcPr>
            <w:tcW w:w="1220" w:type="dxa"/>
            <w:noWrap/>
            <w:hideMark/>
          </w:tcPr>
          <w:p w:rsidR="0062688C" w:rsidRPr="00F15F35" w:rsidRDefault="0062688C" w:rsidP="00B868DB">
            <w:pPr>
              <w:pStyle w:val="a6"/>
              <w:jc w:val="left"/>
              <w:rPr>
                <w:color w:val="auto"/>
              </w:rPr>
            </w:pPr>
            <w:r w:rsidRPr="00F15F35">
              <w:rPr>
                <w:color w:val="auto"/>
              </w:rPr>
              <w:t>31,49</w:t>
            </w:r>
          </w:p>
        </w:tc>
        <w:tc>
          <w:tcPr>
            <w:tcW w:w="1220" w:type="dxa"/>
            <w:noWrap/>
            <w:hideMark/>
          </w:tcPr>
          <w:p w:rsidR="0062688C" w:rsidRPr="00F15F35" w:rsidRDefault="0062688C" w:rsidP="00B868DB">
            <w:pPr>
              <w:pStyle w:val="a6"/>
              <w:jc w:val="left"/>
              <w:rPr>
                <w:color w:val="auto"/>
              </w:rPr>
            </w:pPr>
            <w:r w:rsidRPr="00F15F35">
              <w:rPr>
                <w:color w:val="auto"/>
              </w:rPr>
              <w:t>29,30</w:t>
            </w:r>
          </w:p>
        </w:tc>
        <w:tc>
          <w:tcPr>
            <w:tcW w:w="1220" w:type="dxa"/>
            <w:noWrap/>
            <w:hideMark/>
          </w:tcPr>
          <w:p w:rsidR="0062688C" w:rsidRPr="00F15F35" w:rsidRDefault="0062688C" w:rsidP="00B868DB">
            <w:pPr>
              <w:pStyle w:val="a6"/>
              <w:jc w:val="left"/>
              <w:rPr>
                <w:color w:val="auto"/>
              </w:rPr>
            </w:pPr>
            <w:r w:rsidRPr="00F15F35">
              <w:rPr>
                <w:color w:val="auto"/>
              </w:rPr>
              <w:t>20,39</w:t>
            </w:r>
          </w:p>
        </w:tc>
        <w:tc>
          <w:tcPr>
            <w:tcW w:w="1221" w:type="dxa"/>
            <w:noWrap/>
            <w:hideMark/>
          </w:tcPr>
          <w:p w:rsidR="0062688C" w:rsidRPr="00F15F35" w:rsidRDefault="0062688C" w:rsidP="00B868DB">
            <w:pPr>
              <w:pStyle w:val="a6"/>
              <w:jc w:val="left"/>
              <w:rPr>
                <w:color w:val="auto"/>
              </w:rPr>
            </w:pPr>
            <w:r w:rsidRPr="00F15F35">
              <w:rPr>
                <w:color w:val="auto"/>
              </w:rPr>
              <w:t>13,13</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Інші витрати</w:t>
            </w:r>
          </w:p>
        </w:tc>
        <w:tc>
          <w:tcPr>
            <w:tcW w:w="1220" w:type="dxa"/>
            <w:noWrap/>
            <w:hideMark/>
          </w:tcPr>
          <w:p w:rsidR="0062688C" w:rsidRPr="00F15F35" w:rsidRDefault="0062688C" w:rsidP="00B868DB">
            <w:pPr>
              <w:pStyle w:val="a6"/>
              <w:jc w:val="left"/>
              <w:rPr>
                <w:color w:val="auto"/>
              </w:rPr>
            </w:pPr>
            <w:r w:rsidRPr="00F15F35">
              <w:rPr>
                <w:color w:val="auto"/>
              </w:rPr>
              <w:t>472,90</w:t>
            </w:r>
          </w:p>
        </w:tc>
        <w:tc>
          <w:tcPr>
            <w:tcW w:w="1220" w:type="dxa"/>
            <w:noWrap/>
            <w:hideMark/>
          </w:tcPr>
          <w:p w:rsidR="0062688C" w:rsidRPr="00F15F35" w:rsidRDefault="0062688C" w:rsidP="00B868DB">
            <w:pPr>
              <w:pStyle w:val="a6"/>
              <w:jc w:val="left"/>
              <w:rPr>
                <w:color w:val="auto"/>
              </w:rPr>
            </w:pPr>
            <w:r w:rsidRPr="00F15F35">
              <w:rPr>
                <w:color w:val="auto"/>
              </w:rPr>
              <w:t>-85,83</w:t>
            </w:r>
          </w:p>
        </w:tc>
        <w:tc>
          <w:tcPr>
            <w:tcW w:w="1220" w:type="dxa"/>
            <w:noWrap/>
            <w:hideMark/>
          </w:tcPr>
          <w:p w:rsidR="0062688C" w:rsidRPr="00F15F35" w:rsidRDefault="0062688C" w:rsidP="00B868DB">
            <w:pPr>
              <w:pStyle w:val="a6"/>
              <w:jc w:val="left"/>
              <w:rPr>
                <w:color w:val="auto"/>
              </w:rPr>
            </w:pPr>
            <w:r w:rsidRPr="00F15F35">
              <w:rPr>
                <w:color w:val="auto"/>
              </w:rPr>
              <w:t>21,45</w:t>
            </w:r>
          </w:p>
        </w:tc>
        <w:tc>
          <w:tcPr>
            <w:tcW w:w="1221" w:type="dxa"/>
            <w:noWrap/>
            <w:hideMark/>
          </w:tcPr>
          <w:p w:rsidR="0062688C" w:rsidRPr="00F15F35" w:rsidRDefault="0062688C" w:rsidP="00B868DB">
            <w:pPr>
              <w:pStyle w:val="a6"/>
              <w:jc w:val="left"/>
              <w:rPr>
                <w:color w:val="auto"/>
              </w:rPr>
            </w:pPr>
            <w:r w:rsidRPr="00F15F35">
              <w:rPr>
                <w:color w:val="auto"/>
              </w:rPr>
              <w:t>15,87</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Відрахування в резерви</w:t>
            </w:r>
          </w:p>
        </w:tc>
        <w:tc>
          <w:tcPr>
            <w:tcW w:w="1220" w:type="dxa"/>
            <w:noWrap/>
            <w:hideMark/>
          </w:tcPr>
          <w:p w:rsidR="0062688C" w:rsidRPr="00F15F35" w:rsidRDefault="0062688C" w:rsidP="00B868DB">
            <w:pPr>
              <w:pStyle w:val="a6"/>
              <w:jc w:val="left"/>
              <w:rPr>
                <w:color w:val="auto"/>
              </w:rPr>
            </w:pPr>
            <w:r w:rsidRPr="00F15F35">
              <w:rPr>
                <w:color w:val="auto"/>
              </w:rPr>
              <w:t>-70,95</w:t>
            </w:r>
          </w:p>
        </w:tc>
        <w:tc>
          <w:tcPr>
            <w:tcW w:w="1220" w:type="dxa"/>
            <w:noWrap/>
            <w:hideMark/>
          </w:tcPr>
          <w:p w:rsidR="0062688C" w:rsidRPr="00F15F35" w:rsidRDefault="0062688C" w:rsidP="00B868DB">
            <w:pPr>
              <w:pStyle w:val="a6"/>
              <w:jc w:val="left"/>
              <w:rPr>
                <w:color w:val="auto"/>
              </w:rPr>
            </w:pPr>
            <w:r w:rsidRPr="00F15F35">
              <w:rPr>
                <w:color w:val="auto"/>
              </w:rPr>
              <w:t>-48,58</w:t>
            </w:r>
          </w:p>
        </w:tc>
        <w:tc>
          <w:tcPr>
            <w:tcW w:w="1220" w:type="dxa"/>
            <w:noWrap/>
            <w:hideMark/>
          </w:tcPr>
          <w:p w:rsidR="0062688C" w:rsidRPr="00F15F35" w:rsidRDefault="0062688C" w:rsidP="00B868DB">
            <w:pPr>
              <w:pStyle w:val="a6"/>
              <w:jc w:val="left"/>
              <w:rPr>
                <w:color w:val="auto"/>
              </w:rPr>
            </w:pPr>
            <w:r w:rsidRPr="00F15F35">
              <w:rPr>
                <w:color w:val="auto"/>
              </w:rPr>
              <w:t>-53,70</w:t>
            </w:r>
          </w:p>
        </w:tc>
        <w:tc>
          <w:tcPr>
            <w:tcW w:w="1221" w:type="dxa"/>
            <w:noWrap/>
            <w:hideMark/>
          </w:tcPr>
          <w:p w:rsidR="0062688C" w:rsidRPr="00F15F35" w:rsidRDefault="0062688C" w:rsidP="00B868DB">
            <w:pPr>
              <w:pStyle w:val="a6"/>
              <w:jc w:val="left"/>
              <w:rPr>
                <w:color w:val="auto"/>
              </w:rPr>
            </w:pPr>
            <w:r w:rsidRPr="00F15F35">
              <w:rPr>
                <w:color w:val="auto"/>
              </w:rPr>
              <w:t>186,51</w:t>
            </w:r>
          </w:p>
        </w:tc>
      </w:tr>
      <w:tr w:rsidR="0062688C" w:rsidRPr="00F15F35" w:rsidTr="00B868DB">
        <w:trPr>
          <w:trHeight w:val="288"/>
        </w:trPr>
        <w:tc>
          <w:tcPr>
            <w:tcW w:w="4815" w:type="dxa"/>
            <w:noWrap/>
            <w:hideMark/>
          </w:tcPr>
          <w:p w:rsidR="0062688C" w:rsidRPr="00F15F35" w:rsidRDefault="0062688C" w:rsidP="00B868DB">
            <w:pPr>
              <w:pStyle w:val="a6"/>
              <w:jc w:val="left"/>
              <w:rPr>
                <w:color w:val="auto"/>
              </w:rPr>
            </w:pPr>
            <w:r w:rsidRPr="00F15F35">
              <w:rPr>
                <w:color w:val="auto"/>
              </w:rPr>
              <w:t>ЧИСТИЙ ПРИБУТОК (ЗБИТОК)</w:t>
            </w:r>
          </w:p>
        </w:tc>
        <w:tc>
          <w:tcPr>
            <w:tcW w:w="1220" w:type="dxa"/>
            <w:noWrap/>
            <w:hideMark/>
          </w:tcPr>
          <w:p w:rsidR="0062688C" w:rsidRPr="00F15F35" w:rsidRDefault="0062688C" w:rsidP="00B868DB">
            <w:pPr>
              <w:pStyle w:val="a6"/>
              <w:jc w:val="left"/>
              <w:rPr>
                <w:color w:val="auto"/>
              </w:rPr>
            </w:pPr>
            <w:r w:rsidRPr="00F15F35">
              <w:rPr>
                <w:color w:val="auto"/>
              </w:rPr>
              <w:t>80,54</w:t>
            </w:r>
          </w:p>
        </w:tc>
        <w:tc>
          <w:tcPr>
            <w:tcW w:w="1220" w:type="dxa"/>
            <w:noWrap/>
            <w:hideMark/>
          </w:tcPr>
          <w:p w:rsidR="0062688C" w:rsidRPr="00F15F35" w:rsidRDefault="0062688C" w:rsidP="00B868DB">
            <w:pPr>
              <w:pStyle w:val="a6"/>
              <w:jc w:val="left"/>
              <w:rPr>
                <w:color w:val="auto"/>
              </w:rPr>
            </w:pPr>
            <w:r w:rsidRPr="00F15F35">
              <w:rPr>
                <w:color w:val="auto"/>
              </w:rPr>
              <w:t>189,80</w:t>
            </w:r>
          </w:p>
        </w:tc>
        <w:tc>
          <w:tcPr>
            <w:tcW w:w="1220" w:type="dxa"/>
            <w:noWrap/>
            <w:hideMark/>
          </w:tcPr>
          <w:p w:rsidR="0062688C" w:rsidRPr="00F15F35" w:rsidRDefault="0062688C" w:rsidP="00B868DB">
            <w:pPr>
              <w:pStyle w:val="a6"/>
              <w:jc w:val="left"/>
              <w:rPr>
                <w:color w:val="auto"/>
              </w:rPr>
            </w:pPr>
            <w:r w:rsidRPr="00F15F35">
              <w:rPr>
                <w:color w:val="auto"/>
              </w:rPr>
              <w:t>168,20</w:t>
            </w:r>
          </w:p>
        </w:tc>
        <w:tc>
          <w:tcPr>
            <w:tcW w:w="1221" w:type="dxa"/>
            <w:noWrap/>
            <w:hideMark/>
          </w:tcPr>
          <w:p w:rsidR="0062688C" w:rsidRPr="00F15F35" w:rsidRDefault="0062688C" w:rsidP="00B868DB">
            <w:pPr>
              <w:pStyle w:val="a6"/>
              <w:jc w:val="left"/>
              <w:rPr>
                <w:color w:val="auto"/>
              </w:rPr>
            </w:pPr>
            <w:r w:rsidRPr="00F15F35">
              <w:rPr>
                <w:color w:val="auto"/>
              </w:rPr>
              <w:t>-27,30</w:t>
            </w:r>
          </w:p>
        </w:tc>
      </w:tr>
    </w:tbl>
    <w:p w:rsidR="0062688C" w:rsidRPr="00F15F35" w:rsidRDefault="0062688C" w:rsidP="00F113F3">
      <w:pPr>
        <w:ind w:firstLine="709"/>
        <w:rPr>
          <w:rFonts w:cs="Times New Roman"/>
          <w:sz w:val="24"/>
          <w:szCs w:val="24"/>
        </w:rPr>
      </w:pPr>
      <w:r w:rsidRPr="00F15F35">
        <w:rPr>
          <w:rFonts w:cs="Times New Roman"/>
          <w:sz w:val="24"/>
          <w:szCs w:val="24"/>
        </w:rPr>
        <w:t xml:space="preserve">Джерело: розраховано авторами на основі даних </w:t>
      </w:r>
      <w:r w:rsidR="00B868DB" w:rsidRPr="00F15F35">
        <w:rPr>
          <w:rFonts w:cs="Times New Roman"/>
          <w:sz w:val="24"/>
          <w:szCs w:val="24"/>
        </w:rPr>
        <w:t xml:space="preserve">джерела </w:t>
      </w:r>
      <w:r w:rsidRPr="00F15F35">
        <w:rPr>
          <w:rFonts w:cs="Times New Roman"/>
          <w:sz w:val="24"/>
          <w:szCs w:val="24"/>
        </w:rPr>
        <w:t>[16]</w:t>
      </w:r>
    </w:p>
    <w:p w:rsidR="0062688C" w:rsidRPr="00F15F35" w:rsidRDefault="0062688C" w:rsidP="00F113F3">
      <w:pPr>
        <w:ind w:firstLine="709"/>
      </w:pPr>
    </w:p>
    <w:p w:rsidR="0062688C" w:rsidRPr="00F15F35" w:rsidRDefault="0062688C" w:rsidP="00F113F3">
      <w:pPr>
        <w:ind w:firstLine="709"/>
      </w:pPr>
      <w:r w:rsidRPr="00F15F35">
        <w:t>Вплив пандемії COVID-19 на фінансові результати діяльності українських банків був більш відчутним і мав здебільшого негативний характер. Так, доходи зросли за 202</w:t>
      </w:r>
      <w:r w:rsidR="00B868DB" w:rsidRPr="00F15F35">
        <w:t>0 р. лише на 5,55%, хоча у 2018–</w:t>
      </w:r>
      <w:r w:rsidRPr="00F15F35">
        <w:t xml:space="preserve">2019 рр. щорічний приріст становив понад 20%. Зумовило таку динаміку скорочення процентних доходів (на 1,05%), інших операційних доходів (на 12,48%), інших </w:t>
      </w:r>
      <w:r w:rsidRPr="00F15F35">
        <w:lastRenderedPageBreak/>
        <w:t>доходів (на 2,82%). Також зн</w:t>
      </w:r>
      <w:r w:rsidR="00B868DB" w:rsidRPr="00F15F35">
        <w:t xml:space="preserve">ачно нижчими темпами порівняно </w:t>
      </w:r>
      <w:r w:rsidRPr="00F15F35">
        <w:t xml:space="preserve">з попередніми роками зростали комісійні доходи. </w:t>
      </w:r>
      <w:r w:rsidR="00B868DB" w:rsidRPr="00F15F35">
        <w:t>Водно</w:t>
      </w:r>
      <w:r w:rsidRPr="00F15F35">
        <w:t>час, незважаючи на скорочення процентних витрат на 12,76%, всі інші складові</w:t>
      </w:r>
      <w:r w:rsidR="00B868DB" w:rsidRPr="00F15F35">
        <w:t xml:space="preserve"> частини витрати зростали</w:t>
      </w:r>
      <w:r w:rsidRPr="00F15F35">
        <w:t>, що</w:t>
      </w:r>
      <w:r w:rsidR="00B868DB" w:rsidRPr="00F15F35">
        <w:t>, зрештою,</w:t>
      </w:r>
      <w:r w:rsidRPr="00F15F35">
        <w:t xml:space="preserve"> зумовило зростання витрат банків на 15,92%. Загальний вплив пандемії COVID-19 на ефективність діяльності українських банків був таким: з 2018 р. у середньому по системі українські банки працювали ефективн</w:t>
      </w:r>
      <w:r w:rsidR="00B868DB" w:rsidRPr="00F15F35">
        <w:t>о, їхній</w:t>
      </w:r>
      <w:r w:rsidRPr="00F15F35">
        <w:t xml:space="preserve"> чистий прибуток зростав значними темпами (189,80% у 2018 р. та 168,20% у 2019 р.), тому зменшення чистого прибутку у 2020 р. під час карантинних обмежень та </w:t>
      </w:r>
      <w:proofErr w:type="spellStart"/>
      <w:r w:rsidRPr="00F15F35">
        <w:t>локдауну</w:t>
      </w:r>
      <w:proofErr w:type="spellEnd"/>
      <w:r w:rsidRPr="00F15F35">
        <w:t xml:space="preserve"> на 27,30% є негативним явищем, проте не критичним. Загалом у цей кризовий рік діяльність українськи</w:t>
      </w:r>
      <w:r w:rsidR="00B868DB" w:rsidRPr="00F15F35">
        <w:t>х банків була високоефективною.</w:t>
      </w:r>
    </w:p>
    <w:p w:rsidR="0062688C" w:rsidRPr="00F15F35" w:rsidRDefault="0062688C" w:rsidP="00F113F3">
      <w:pPr>
        <w:ind w:firstLine="709"/>
      </w:pPr>
      <w:r w:rsidRPr="00F15F35">
        <w:t>Зважаюч</w:t>
      </w:r>
      <w:r w:rsidR="00B868DB" w:rsidRPr="00F15F35">
        <w:t>и на низьку інфляцію, а також</w:t>
      </w:r>
      <w:r w:rsidRPr="00F15F35">
        <w:t xml:space="preserve"> суттєве зниження проц</w:t>
      </w:r>
      <w:r w:rsidR="00B868DB" w:rsidRPr="00F15F35">
        <w:t>ентних ставок по кредитах, можемо</w:t>
      </w:r>
      <w:r w:rsidRPr="00F15F35">
        <w:t xml:space="preserve"> стверджувати, що відчутного негативного впливу пандемія COVID-19 українським банкам не завдала. Банки </w:t>
      </w:r>
      <w:r w:rsidR="00B868DB" w:rsidRPr="00F15F35">
        <w:t>загалом</w:t>
      </w:r>
      <w:r w:rsidRPr="00F15F35">
        <w:t xml:space="preserve"> </w:t>
      </w:r>
      <w:r w:rsidR="00B868DB" w:rsidRPr="00F15F35">
        <w:t>виявились</w:t>
      </w:r>
      <w:r w:rsidRPr="00F15F35">
        <w:t xml:space="preserve"> досить стійкими до цієї кризи. Підґрунтям такої стійкості є високоефективний та сприятливий у фінансовому сегменті 2019 р., що д</w:t>
      </w:r>
      <w:r w:rsidR="00B868DB" w:rsidRPr="00F15F35">
        <w:t>а</w:t>
      </w:r>
      <w:r w:rsidRPr="00F15F35">
        <w:t>в</w:t>
      </w:r>
      <w:r w:rsidR="00B868DB" w:rsidRPr="00F15F35">
        <w:t xml:space="preserve"> змогу</w:t>
      </w:r>
      <w:r w:rsidRPr="00F15F35">
        <w:t xml:space="preserve"> українським банкам увійти в пандемічну кризу зі значним запасом фінансової міцності.</w:t>
      </w:r>
    </w:p>
    <w:p w:rsidR="0062688C" w:rsidRPr="00F15F35" w:rsidRDefault="0062688C" w:rsidP="00F113F3">
      <w:pPr>
        <w:ind w:firstLine="709"/>
      </w:pPr>
      <w:r w:rsidRPr="00F15F35">
        <w:t>Звичайно, діяльність бан</w:t>
      </w:r>
      <w:r w:rsidR="00B868DB" w:rsidRPr="00F15F35">
        <w:t>ків змінилась</w:t>
      </w:r>
      <w:r w:rsidRPr="00F15F35">
        <w:t xml:space="preserve"> у період впливу пандемії COVID-19</w:t>
      </w:r>
      <w:r w:rsidR="00B868DB" w:rsidRPr="00F15F35">
        <w:t>. Зокрема,</w:t>
      </w:r>
      <w:r w:rsidRPr="00F15F35">
        <w:t xml:space="preserve"> значно розширилися можливості дистанційної співпра</w:t>
      </w:r>
      <w:r w:rsidR="00B868DB" w:rsidRPr="00F15F35">
        <w:t xml:space="preserve">ці, покращилися мобільні та </w:t>
      </w:r>
      <w:proofErr w:type="spellStart"/>
      <w:r w:rsidR="00B868DB" w:rsidRPr="00F15F35">
        <w:t>веб</w:t>
      </w:r>
      <w:r w:rsidRPr="00F15F35">
        <w:t>версії</w:t>
      </w:r>
      <w:proofErr w:type="spellEnd"/>
      <w:r w:rsidRPr="00F15F35">
        <w:t xml:space="preserve"> банківських послуг, відбулася переорієнтація у роботі з клієнтом, спростилися окремі процедури оформлення документів, щоб клієнт міг це зробити без допомоги працівників банку</w:t>
      </w:r>
      <w:r w:rsidR="00B868DB" w:rsidRPr="00F15F35">
        <w:t>. Також потребують</w:t>
      </w:r>
      <w:r w:rsidRPr="00F15F35">
        <w:t xml:space="preserve"> особливої уваги </w:t>
      </w:r>
      <w:proofErr w:type="spellStart"/>
      <w:r w:rsidRPr="00F15F35">
        <w:t>кібербезпека</w:t>
      </w:r>
      <w:proofErr w:type="spellEnd"/>
      <w:r w:rsidRPr="00F15F35">
        <w:t xml:space="preserve"> кожного клієнта, захист персональних даних </w:t>
      </w:r>
      <w:r w:rsidR="00B868DB" w:rsidRPr="00F15F35">
        <w:t>та протидія шахрайству, адже за онлайн-режиму</w:t>
      </w:r>
      <w:r w:rsidRPr="00F15F35">
        <w:t xml:space="preserve"> роботи рівень загрози значно зростає.</w:t>
      </w:r>
    </w:p>
    <w:p w:rsidR="0062688C" w:rsidRPr="00F15F35" w:rsidRDefault="0062688C" w:rsidP="00F113F3">
      <w:pPr>
        <w:ind w:firstLine="709"/>
      </w:pPr>
      <w:r w:rsidRPr="00F15F35">
        <w:t>Оскільки карантинні обмеження діятимуть</w:t>
      </w:r>
      <w:r w:rsidR="00B868DB" w:rsidRPr="00F15F35">
        <w:t xml:space="preserve"> різною мірою</w:t>
      </w:r>
      <w:r w:rsidRPr="00F15F35">
        <w:t xml:space="preserve"> ще впродовж тривалого періоду часу, українським банкам доцільно розвивати свою співпрацю з клієнтами у дистанційному форматі, сприяти максим</w:t>
      </w:r>
      <w:r w:rsidR="00B868DB" w:rsidRPr="00F15F35">
        <w:t>альному задоволенню потреб</w:t>
      </w:r>
      <w:r w:rsidRPr="00F15F35">
        <w:t xml:space="preserve"> клієнтів, що забезпечить очікуваний рівень ефективності діяльності банку.</w:t>
      </w:r>
    </w:p>
    <w:p w:rsidR="0062688C" w:rsidRPr="00F15F35" w:rsidRDefault="0062688C" w:rsidP="00F113F3">
      <w:pPr>
        <w:ind w:firstLine="709"/>
      </w:pPr>
      <w:r w:rsidRPr="00F15F35">
        <w:rPr>
          <w:b/>
        </w:rPr>
        <w:lastRenderedPageBreak/>
        <w:t xml:space="preserve">Висновки. </w:t>
      </w:r>
      <w:r w:rsidRPr="00F15F35">
        <w:t>Пандемія COVID-19 вплинула на усі сфери людського життя та</w:t>
      </w:r>
      <w:r w:rsidR="00B868DB" w:rsidRPr="00F15F35">
        <w:t xml:space="preserve"> діяльності. Не став винятком</w:t>
      </w:r>
      <w:r w:rsidRPr="00F15F35">
        <w:t xml:space="preserve"> фінансових сектор, основними представниками якого в Україні є банки. Проте значного негативного впливу не відбулося, адже українські банки увій</w:t>
      </w:r>
      <w:r w:rsidR="00B868DB" w:rsidRPr="00F15F35">
        <w:t>шли в кризу фінансово стійкими, маючи високий рівень ефективності діяльності. Це да</w:t>
      </w:r>
      <w:r w:rsidRPr="00F15F35">
        <w:t>ло</w:t>
      </w:r>
      <w:r w:rsidR="00B868DB" w:rsidRPr="00F15F35">
        <w:t xml:space="preserve"> змогу прийняти виклики цієї кризи, </w:t>
      </w:r>
      <w:r w:rsidRPr="00F15F35">
        <w:t>зміни</w:t>
      </w:r>
      <w:r w:rsidR="00B868DB" w:rsidRPr="00F15F35">
        <w:t>ти</w:t>
      </w:r>
      <w:r w:rsidRPr="00F15F35">
        <w:t xml:space="preserve"> звичний режим роботи, удосконалити окремі напрями співпраці з клієнтами тощо.</w:t>
      </w:r>
    </w:p>
    <w:p w:rsidR="0062688C" w:rsidRPr="00F15F35" w:rsidRDefault="0062688C" w:rsidP="00F113F3">
      <w:pPr>
        <w:ind w:firstLine="709"/>
      </w:pPr>
      <w:r w:rsidRPr="00F15F35">
        <w:t>У подальших дослідженнях доцільно більш ґрунтовно проаналізувати взаємозв</w:t>
      </w:r>
      <w:r w:rsidR="00F113F3" w:rsidRPr="00F15F35">
        <w:t>’</w:t>
      </w:r>
      <w:r w:rsidRPr="00F15F35">
        <w:t>язки між окремими показниками дія</w:t>
      </w:r>
      <w:r w:rsidR="00F15F35" w:rsidRPr="00F15F35">
        <w:t>льності банків у період кризи в</w:t>
      </w:r>
      <w:r w:rsidRPr="00F15F35">
        <w:t xml:space="preserve"> різних країнах, а також у періоди різних за своїм характером криз.</w:t>
      </w:r>
    </w:p>
    <w:p w:rsidR="0062688C" w:rsidRPr="00F15F35" w:rsidRDefault="0062688C" w:rsidP="00F113F3">
      <w:pPr>
        <w:ind w:firstLine="709"/>
      </w:pPr>
    </w:p>
    <w:p w:rsidR="0062688C" w:rsidRPr="00F15F35" w:rsidRDefault="0062688C" w:rsidP="00F113F3">
      <w:pPr>
        <w:ind w:firstLine="709"/>
        <w:jc w:val="center"/>
        <w:rPr>
          <w:b/>
        </w:rPr>
      </w:pPr>
      <w:r w:rsidRPr="00F15F35">
        <w:rPr>
          <w:b/>
        </w:rPr>
        <w:t>БІБЛІОГРАФІЧНИЙ СПИСОК:</w:t>
      </w:r>
    </w:p>
    <w:p w:rsidR="0062688C" w:rsidRPr="00F15F35" w:rsidRDefault="0062688C" w:rsidP="00F15F35">
      <w:pPr>
        <w:pStyle w:val="a4"/>
        <w:numPr>
          <w:ilvl w:val="0"/>
          <w:numId w:val="1"/>
        </w:numPr>
        <w:tabs>
          <w:tab w:val="left" w:pos="709"/>
        </w:tabs>
        <w:ind w:left="0" w:firstLine="284"/>
        <w:rPr>
          <w:rFonts w:cs="Times New Roman"/>
        </w:rPr>
      </w:pPr>
      <w:bookmarkStart w:id="0" w:name="_Ref83048940"/>
      <w:bookmarkStart w:id="1" w:name="_Ref83049374"/>
      <w:r w:rsidRPr="00F15F35">
        <w:rPr>
          <w:rFonts w:cs="Times New Roman"/>
        </w:rPr>
        <w:t>Звіт про фінансову стабільність, грудень 2020 р</w:t>
      </w:r>
      <w:r w:rsidR="00F15F35" w:rsidRPr="00F15F35">
        <w:rPr>
          <w:rFonts w:cs="Times New Roman"/>
        </w:rPr>
        <w:t>оку / Національний банк України</w:t>
      </w:r>
      <w:r w:rsidRPr="00F15F35">
        <w:t>.</w:t>
      </w:r>
      <w:r w:rsidR="00F113F3" w:rsidRPr="00F15F35">
        <w:t xml:space="preserve"> </w:t>
      </w:r>
      <w:r w:rsidRPr="00F15F35">
        <w:rPr>
          <w:rFonts w:cs="Times New Roman"/>
        </w:rPr>
        <w:t>URL: https://bank.gov.ua/admin_uploads/article/FSR_2020-H2.pdf?v=4</w:t>
      </w:r>
      <w:bookmarkEnd w:id="0"/>
      <w:r w:rsidRPr="00F15F35">
        <w:rPr>
          <w:rStyle w:val="a3"/>
          <w:rFonts w:cs="Times New Roman"/>
          <w:color w:val="auto"/>
          <w:u w:val="none"/>
        </w:rPr>
        <w:t xml:space="preserve"> (дата звернення: 21.06.2021).</w:t>
      </w:r>
    </w:p>
    <w:p w:rsidR="0062688C" w:rsidRPr="00F15F35" w:rsidRDefault="0062688C" w:rsidP="00F15F35">
      <w:pPr>
        <w:pStyle w:val="a4"/>
        <w:numPr>
          <w:ilvl w:val="0"/>
          <w:numId w:val="1"/>
        </w:numPr>
        <w:tabs>
          <w:tab w:val="left" w:pos="709"/>
        </w:tabs>
        <w:ind w:left="0" w:firstLine="284"/>
        <w:rPr>
          <w:rStyle w:val="a3"/>
          <w:rFonts w:cs="Times New Roman"/>
          <w:color w:val="auto"/>
        </w:rPr>
      </w:pPr>
      <w:bookmarkStart w:id="2" w:name="_Ref83050973"/>
      <w:bookmarkEnd w:id="1"/>
      <w:r w:rsidRPr="00F15F35">
        <w:rPr>
          <w:rFonts w:cs="Times New Roman"/>
        </w:rPr>
        <w:t>Представництво Фонду Конрада Аденауера в Україні «Вплив COVID-19 та карантинних обмежень на економіку України» / Громадська організація «Центр прикладних досліджень». URL: https://www.kas.de/documents/270026/8703904version=1.0&amp;t=1597301028775</w:t>
      </w:r>
      <w:bookmarkEnd w:id="2"/>
      <w:r w:rsidRPr="00F15F35">
        <w:rPr>
          <w:rFonts w:cs="Times New Roman"/>
        </w:rPr>
        <w:t xml:space="preserve"> </w:t>
      </w:r>
      <w:r w:rsidRPr="00F15F35">
        <w:rPr>
          <w:rStyle w:val="a3"/>
          <w:rFonts w:cs="Times New Roman"/>
          <w:color w:val="auto"/>
          <w:u w:val="none"/>
        </w:rPr>
        <w:t>(дата звернення: 21.06.2021).</w:t>
      </w:r>
    </w:p>
    <w:p w:rsidR="0062688C" w:rsidRPr="00F15F35" w:rsidRDefault="00F15F35" w:rsidP="00F15F35">
      <w:pPr>
        <w:pStyle w:val="a4"/>
        <w:numPr>
          <w:ilvl w:val="0"/>
          <w:numId w:val="1"/>
        </w:numPr>
        <w:tabs>
          <w:tab w:val="left" w:pos="709"/>
        </w:tabs>
        <w:ind w:left="0" w:firstLine="284"/>
        <w:rPr>
          <w:rFonts w:cs="Times New Roman"/>
        </w:rPr>
      </w:pPr>
      <w:bookmarkStart w:id="3" w:name="_Ref83053090"/>
      <w:proofErr w:type="spellStart"/>
      <w:r>
        <w:rPr>
          <w:rFonts w:cs="Times New Roman"/>
        </w:rPr>
        <w:t>Житар</w:t>
      </w:r>
      <w:proofErr w:type="spellEnd"/>
      <w:r>
        <w:rPr>
          <w:rFonts w:cs="Times New Roman"/>
        </w:rPr>
        <w:t xml:space="preserve"> М.О., </w:t>
      </w:r>
      <w:proofErr w:type="spellStart"/>
      <w:r>
        <w:rPr>
          <w:rFonts w:cs="Times New Roman"/>
        </w:rPr>
        <w:t>Ясентюк</w:t>
      </w:r>
      <w:proofErr w:type="spellEnd"/>
      <w:r>
        <w:rPr>
          <w:rFonts w:cs="Times New Roman"/>
        </w:rPr>
        <w:t xml:space="preserve"> А.</w:t>
      </w:r>
      <w:r w:rsidR="0062688C" w:rsidRPr="00F15F35">
        <w:rPr>
          <w:rFonts w:cs="Times New Roman"/>
        </w:rPr>
        <w:t xml:space="preserve">С. Особливості функціонування банківської системи України в умовах пандемії COVID-19. </w:t>
      </w:r>
      <w:r w:rsidR="0062688C" w:rsidRPr="00F15F35">
        <w:rPr>
          <w:rFonts w:cs="Times New Roman"/>
          <w:i/>
        </w:rPr>
        <w:t>Збірник наукових праць Університету державної фіскальної служби України</w:t>
      </w:r>
      <w:r w:rsidR="0062688C" w:rsidRPr="00F15F35">
        <w:rPr>
          <w:rFonts w:cs="Times New Roman"/>
        </w:rPr>
        <w:t>. 2021. № 1. С. 113</w:t>
      </w:r>
      <w:r>
        <w:t>–</w:t>
      </w:r>
      <w:r w:rsidR="0062688C" w:rsidRPr="00F15F35">
        <w:rPr>
          <w:rFonts w:cs="Times New Roman"/>
        </w:rPr>
        <w:t>125.</w:t>
      </w:r>
      <w:bookmarkEnd w:id="3"/>
    </w:p>
    <w:p w:rsidR="0062688C" w:rsidRPr="00F15F35" w:rsidRDefault="00F15F35" w:rsidP="00F15F35">
      <w:pPr>
        <w:pStyle w:val="a4"/>
        <w:numPr>
          <w:ilvl w:val="0"/>
          <w:numId w:val="1"/>
        </w:numPr>
        <w:tabs>
          <w:tab w:val="left" w:pos="709"/>
        </w:tabs>
        <w:ind w:left="0" w:firstLine="284"/>
        <w:rPr>
          <w:rFonts w:cs="Times New Roman"/>
        </w:rPr>
      </w:pPr>
      <w:bookmarkStart w:id="4" w:name="_Ref83053111"/>
      <w:proofErr w:type="spellStart"/>
      <w:r>
        <w:rPr>
          <w:rFonts w:cs="Times New Roman"/>
        </w:rPr>
        <w:t>Дзюблюк</w:t>
      </w:r>
      <w:proofErr w:type="spellEnd"/>
      <w:r>
        <w:rPr>
          <w:rFonts w:cs="Times New Roman"/>
        </w:rPr>
        <w:t xml:space="preserve"> О.</w:t>
      </w:r>
      <w:r w:rsidR="0062688C" w:rsidRPr="00F15F35">
        <w:rPr>
          <w:rFonts w:cs="Times New Roman"/>
        </w:rPr>
        <w:t xml:space="preserve">В. Економічний розвиток і банківський сектор в умовах глобальної пандемічної кризи. </w:t>
      </w:r>
      <w:r w:rsidR="0062688C" w:rsidRPr="00F15F35">
        <w:rPr>
          <w:rFonts w:cs="Times New Roman"/>
          <w:i/>
        </w:rPr>
        <w:t>Фінанси України</w:t>
      </w:r>
      <w:r>
        <w:rPr>
          <w:rFonts w:cs="Times New Roman"/>
        </w:rPr>
        <w:t>. 2020. № 6. С. 25</w:t>
      </w:r>
      <w:r>
        <w:t>–</w:t>
      </w:r>
      <w:r w:rsidR="0062688C" w:rsidRPr="00F15F35">
        <w:rPr>
          <w:rFonts w:cs="Times New Roman"/>
        </w:rPr>
        <w:t>55.</w:t>
      </w:r>
      <w:bookmarkEnd w:id="4"/>
    </w:p>
    <w:p w:rsidR="0062688C" w:rsidRPr="00F15F35" w:rsidRDefault="00F15F35" w:rsidP="00F15F35">
      <w:pPr>
        <w:pStyle w:val="a4"/>
        <w:numPr>
          <w:ilvl w:val="0"/>
          <w:numId w:val="1"/>
        </w:numPr>
        <w:tabs>
          <w:tab w:val="left" w:pos="709"/>
        </w:tabs>
        <w:ind w:left="0" w:firstLine="284"/>
        <w:rPr>
          <w:rFonts w:cs="Times New Roman"/>
        </w:rPr>
      </w:pPr>
      <w:bookmarkStart w:id="5" w:name="_Ref83053134"/>
      <w:r>
        <w:rPr>
          <w:rFonts w:cs="Times New Roman"/>
        </w:rPr>
        <w:t>Пасічник І.В., Назаренко Р.</w:t>
      </w:r>
      <w:r w:rsidR="0062688C" w:rsidRPr="00F15F35">
        <w:rPr>
          <w:rFonts w:cs="Times New Roman"/>
        </w:rPr>
        <w:t xml:space="preserve">Д. Діяльність центрального банку в умовах пандемії. </w:t>
      </w:r>
      <w:r>
        <w:rPr>
          <w:rFonts w:cs="Times New Roman"/>
          <w:i/>
        </w:rPr>
        <w:t>Бізнес-</w:t>
      </w:r>
      <w:proofErr w:type="spellStart"/>
      <w:r>
        <w:rPr>
          <w:rFonts w:cs="Times New Roman"/>
          <w:i/>
        </w:rPr>
        <w:t>і</w:t>
      </w:r>
      <w:r w:rsidR="0062688C" w:rsidRPr="00F15F35">
        <w:rPr>
          <w:rFonts w:cs="Times New Roman"/>
          <w:i/>
        </w:rPr>
        <w:t>нформ</w:t>
      </w:r>
      <w:proofErr w:type="spellEnd"/>
      <w:r w:rsidR="0062688C" w:rsidRPr="00F15F35">
        <w:rPr>
          <w:rFonts w:cs="Times New Roman"/>
        </w:rPr>
        <w:t>. 2020. № 6. С. 245</w:t>
      </w:r>
      <w:r>
        <w:t>–</w:t>
      </w:r>
      <w:r w:rsidR="0062688C" w:rsidRPr="00F15F35">
        <w:rPr>
          <w:rFonts w:cs="Times New Roman"/>
        </w:rPr>
        <w:t>251.</w:t>
      </w:r>
      <w:bookmarkEnd w:id="5"/>
    </w:p>
    <w:p w:rsidR="0062688C" w:rsidRPr="00F15F35" w:rsidRDefault="00F15F35" w:rsidP="00F15F35">
      <w:pPr>
        <w:pStyle w:val="a4"/>
        <w:numPr>
          <w:ilvl w:val="0"/>
          <w:numId w:val="1"/>
        </w:numPr>
        <w:tabs>
          <w:tab w:val="left" w:pos="709"/>
        </w:tabs>
        <w:ind w:left="0" w:firstLine="284"/>
        <w:rPr>
          <w:rFonts w:cs="Times New Roman"/>
        </w:rPr>
      </w:pPr>
      <w:bookmarkStart w:id="6" w:name="_Ref83053154"/>
      <w:proofErr w:type="spellStart"/>
      <w:r>
        <w:rPr>
          <w:rFonts w:cs="Times New Roman"/>
        </w:rPr>
        <w:t>Маринчак</w:t>
      </w:r>
      <w:proofErr w:type="spellEnd"/>
      <w:r>
        <w:rPr>
          <w:rFonts w:cs="Times New Roman"/>
        </w:rPr>
        <w:t xml:space="preserve"> Л.Р., </w:t>
      </w:r>
      <w:proofErr w:type="spellStart"/>
      <w:r>
        <w:rPr>
          <w:rFonts w:cs="Times New Roman"/>
        </w:rPr>
        <w:t>Масик</w:t>
      </w:r>
      <w:proofErr w:type="spellEnd"/>
      <w:r>
        <w:rPr>
          <w:rFonts w:cs="Times New Roman"/>
        </w:rPr>
        <w:t xml:space="preserve"> І.</w:t>
      </w:r>
      <w:r w:rsidR="0062688C" w:rsidRPr="00F15F35">
        <w:rPr>
          <w:rFonts w:cs="Times New Roman"/>
        </w:rPr>
        <w:t xml:space="preserve">С. Особливості функціонування банківських установ в Україні в період пандемії. </w:t>
      </w:r>
      <w:r w:rsidR="0062688C" w:rsidRPr="00F15F35">
        <w:rPr>
          <w:rFonts w:cs="Times New Roman"/>
          <w:i/>
        </w:rPr>
        <w:t xml:space="preserve">Науковий вісник Івано-Франківського </w:t>
      </w:r>
      <w:r w:rsidR="0062688C" w:rsidRPr="00F15F35">
        <w:rPr>
          <w:rFonts w:cs="Times New Roman"/>
          <w:i/>
        </w:rPr>
        <w:lastRenderedPageBreak/>
        <w:t>національного технічного у</w:t>
      </w:r>
      <w:r>
        <w:rPr>
          <w:rFonts w:cs="Times New Roman"/>
          <w:i/>
        </w:rPr>
        <w:t>ніверситету нафти і газу. Серія</w:t>
      </w:r>
      <w:r w:rsidR="0062688C" w:rsidRPr="00F15F35">
        <w:rPr>
          <w:rFonts w:cs="Times New Roman"/>
          <w:i/>
        </w:rPr>
        <w:t>: Економіка та управління в нафтовій і газовій промисловості</w:t>
      </w:r>
      <w:r>
        <w:rPr>
          <w:rFonts w:cs="Times New Roman"/>
        </w:rPr>
        <w:t>. 2020. № 1. С. 174</w:t>
      </w:r>
      <w:r>
        <w:t>–</w:t>
      </w:r>
      <w:r w:rsidR="0062688C" w:rsidRPr="00F15F35">
        <w:rPr>
          <w:rFonts w:cs="Times New Roman"/>
        </w:rPr>
        <w:t>183.</w:t>
      </w:r>
      <w:bookmarkEnd w:id="6"/>
    </w:p>
    <w:p w:rsidR="0062688C" w:rsidRPr="00F15F35" w:rsidRDefault="00F15F35" w:rsidP="00F15F35">
      <w:pPr>
        <w:pStyle w:val="a4"/>
        <w:numPr>
          <w:ilvl w:val="0"/>
          <w:numId w:val="1"/>
        </w:numPr>
        <w:tabs>
          <w:tab w:val="left" w:pos="709"/>
        </w:tabs>
        <w:ind w:left="0" w:firstLine="284"/>
        <w:rPr>
          <w:rFonts w:cs="Times New Roman"/>
        </w:rPr>
      </w:pPr>
      <w:bookmarkStart w:id="7" w:name="_Ref83053172"/>
      <w:proofErr w:type="spellStart"/>
      <w:r>
        <w:rPr>
          <w:rFonts w:cs="Times New Roman"/>
        </w:rPr>
        <w:t>Завербний</w:t>
      </w:r>
      <w:proofErr w:type="spellEnd"/>
      <w:r>
        <w:rPr>
          <w:rFonts w:cs="Times New Roman"/>
        </w:rPr>
        <w:t xml:space="preserve"> А.С., </w:t>
      </w:r>
      <w:proofErr w:type="spellStart"/>
      <w:r>
        <w:rPr>
          <w:rFonts w:cs="Times New Roman"/>
        </w:rPr>
        <w:t>Сокульський</w:t>
      </w:r>
      <w:proofErr w:type="spellEnd"/>
      <w:r>
        <w:rPr>
          <w:rFonts w:cs="Times New Roman"/>
        </w:rPr>
        <w:t xml:space="preserve"> Н.</w:t>
      </w:r>
      <w:r w:rsidR="0062688C" w:rsidRPr="00F15F35">
        <w:rPr>
          <w:rFonts w:cs="Times New Roman"/>
        </w:rPr>
        <w:t xml:space="preserve">Р. Пандемія як каталізатор </w:t>
      </w:r>
      <w:proofErr w:type="spellStart"/>
      <w:r w:rsidR="0062688C" w:rsidRPr="00F15F35">
        <w:rPr>
          <w:rFonts w:cs="Times New Roman"/>
        </w:rPr>
        <w:t>цифровізації</w:t>
      </w:r>
      <w:proofErr w:type="spellEnd"/>
      <w:r w:rsidR="0062688C" w:rsidRPr="00F15F35">
        <w:rPr>
          <w:rFonts w:cs="Times New Roman"/>
        </w:rPr>
        <w:t xml:space="preserve"> банківської системи в Україні. </w:t>
      </w:r>
      <w:r w:rsidR="0062688C" w:rsidRPr="00F15F35">
        <w:rPr>
          <w:rFonts w:cs="Times New Roman"/>
          <w:i/>
        </w:rPr>
        <w:t>Інвестиції: практика та досвід</w:t>
      </w:r>
      <w:r>
        <w:rPr>
          <w:rFonts w:cs="Times New Roman"/>
        </w:rPr>
        <w:t>. 2021. № 2. С. 5</w:t>
      </w:r>
      <w:r>
        <w:t>–</w:t>
      </w:r>
      <w:r w:rsidR="0062688C" w:rsidRPr="00F15F35">
        <w:rPr>
          <w:rFonts w:cs="Times New Roman"/>
        </w:rPr>
        <w:t>9.</w:t>
      </w:r>
      <w:bookmarkEnd w:id="7"/>
    </w:p>
    <w:p w:rsidR="0062688C" w:rsidRPr="00F15F35" w:rsidRDefault="00F15F35" w:rsidP="00F15F35">
      <w:pPr>
        <w:pStyle w:val="a4"/>
        <w:numPr>
          <w:ilvl w:val="0"/>
          <w:numId w:val="1"/>
        </w:numPr>
        <w:tabs>
          <w:tab w:val="left" w:pos="709"/>
        </w:tabs>
        <w:ind w:left="0" w:firstLine="284"/>
        <w:rPr>
          <w:rFonts w:cs="Times New Roman"/>
        </w:rPr>
      </w:pPr>
      <w:bookmarkStart w:id="8" w:name="_Ref83233077"/>
      <w:proofErr w:type="spellStart"/>
      <w:r>
        <w:rPr>
          <w:rFonts w:cs="Times New Roman"/>
        </w:rPr>
        <w:t>Щуревич</w:t>
      </w:r>
      <w:proofErr w:type="spellEnd"/>
      <w:r>
        <w:rPr>
          <w:rFonts w:cs="Times New Roman"/>
        </w:rPr>
        <w:t xml:space="preserve"> О.І., </w:t>
      </w:r>
      <w:proofErr w:type="spellStart"/>
      <w:r>
        <w:rPr>
          <w:rFonts w:cs="Times New Roman"/>
        </w:rPr>
        <w:t>Калинів</w:t>
      </w:r>
      <w:proofErr w:type="spellEnd"/>
      <w:r>
        <w:rPr>
          <w:rFonts w:cs="Times New Roman"/>
        </w:rPr>
        <w:t xml:space="preserve"> О.</w:t>
      </w:r>
      <w:r w:rsidR="0062688C" w:rsidRPr="00F15F35">
        <w:rPr>
          <w:rFonts w:cs="Times New Roman"/>
        </w:rPr>
        <w:t xml:space="preserve">Ю. Монетарні заходи центральних банків для підтримки економіки в умовах пандемії. </w:t>
      </w:r>
      <w:r w:rsidR="0062688C" w:rsidRPr="00F15F35">
        <w:rPr>
          <w:rFonts w:cs="Times New Roman"/>
          <w:i/>
        </w:rPr>
        <w:t>Наукові записки Національного університ</w:t>
      </w:r>
      <w:r>
        <w:rPr>
          <w:rFonts w:cs="Times New Roman"/>
          <w:i/>
        </w:rPr>
        <w:t>ету «Острозька академія». Серія</w:t>
      </w:r>
      <w:r w:rsidR="0062688C" w:rsidRPr="00F15F35">
        <w:rPr>
          <w:rFonts w:cs="Times New Roman"/>
          <w:i/>
        </w:rPr>
        <w:t>: Економіка</w:t>
      </w:r>
      <w:r w:rsidR="0062688C" w:rsidRPr="00F15F35">
        <w:rPr>
          <w:rFonts w:cs="Times New Roman"/>
        </w:rPr>
        <w:t>. 2021. № 20. С. 125</w:t>
      </w:r>
      <w:r>
        <w:t>–</w:t>
      </w:r>
      <w:r w:rsidR="0062688C" w:rsidRPr="00F15F35">
        <w:rPr>
          <w:rFonts w:cs="Times New Roman"/>
        </w:rPr>
        <w:t>132.</w:t>
      </w:r>
      <w:bookmarkEnd w:id="8"/>
    </w:p>
    <w:p w:rsidR="0062688C" w:rsidRPr="00F15F35" w:rsidRDefault="00F15F35" w:rsidP="00F15F35">
      <w:pPr>
        <w:pStyle w:val="a4"/>
        <w:numPr>
          <w:ilvl w:val="0"/>
          <w:numId w:val="1"/>
        </w:numPr>
        <w:tabs>
          <w:tab w:val="left" w:pos="709"/>
        </w:tabs>
        <w:ind w:left="0" w:firstLine="284"/>
        <w:rPr>
          <w:rFonts w:cs="Times New Roman"/>
        </w:rPr>
      </w:pPr>
      <w:bookmarkStart w:id="9" w:name="_Ref83053199"/>
      <w:r>
        <w:rPr>
          <w:rFonts w:cs="Times New Roman"/>
        </w:rPr>
        <w:t>Боднар О.А., Паламарчук В.С., Гаврилов А.</w:t>
      </w:r>
      <w:r w:rsidR="0062688C" w:rsidRPr="00F15F35">
        <w:rPr>
          <w:rFonts w:cs="Times New Roman"/>
        </w:rPr>
        <w:t xml:space="preserve">О. Аналіз стану ринку банківських послуг України в умовах пандемії. </w:t>
      </w:r>
      <w:proofErr w:type="spellStart"/>
      <w:r w:rsidR="0062688C" w:rsidRPr="00F15F35">
        <w:rPr>
          <w:rFonts w:cs="Times New Roman"/>
          <w:i/>
        </w:rPr>
        <w:t>Modern</w:t>
      </w:r>
      <w:proofErr w:type="spellEnd"/>
      <w:r w:rsidR="0062688C" w:rsidRPr="00F15F35">
        <w:rPr>
          <w:rFonts w:cs="Times New Roman"/>
          <w:i/>
        </w:rPr>
        <w:t xml:space="preserve"> </w:t>
      </w:r>
      <w:proofErr w:type="spellStart"/>
      <w:r w:rsidR="0062688C" w:rsidRPr="00F15F35">
        <w:rPr>
          <w:rFonts w:cs="Times New Roman"/>
          <w:i/>
        </w:rPr>
        <w:t>economics</w:t>
      </w:r>
      <w:proofErr w:type="spellEnd"/>
      <w:r>
        <w:rPr>
          <w:rFonts w:cs="Times New Roman"/>
        </w:rPr>
        <w:t>. 2020. № 23. С. 13</w:t>
      </w:r>
      <w:r>
        <w:t>–</w:t>
      </w:r>
      <w:r w:rsidR="0062688C" w:rsidRPr="00F15F35">
        <w:rPr>
          <w:rFonts w:cs="Times New Roman"/>
        </w:rPr>
        <w:t>19.</w:t>
      </w:r>
      <w:bookmarkEnd w:id="9"/>
    </w:p>
    <w:p w:rsidR="0062688C" w:rsidRPr="00F15F35" w:rsidRDefault="00F15F35" w:rsidP="00F15F35">
      <w:pPr>
        <w:pStyle w:val="a4"/>
        <w:numPr>
          <w:ilvl w:val="0"/>
          <w:numId w:val="1"/>
        </w:numPr>
        <w:tabs>
          <w:tab w:val="left" w:pos="709"/>
        </w:tabs>
        <w:ind w:left="0" w:firstLine="284"/>
        <w:rPr>
          <w:rStyle w:val="fontstyle01"/>
          <w:color w:val="auto"/>
        </w:rPr>
      </w:pPr>
      <w:bookmarkStart w:id="10" w:name="_Ref83233322"/>
      <w:r>
        <w:rPr>
          <w:rFonts w:cs="Times New Roman"/>
          <w:lang w:val="en-US"/>
        </w:rPr>
        <w:t>Acharya V.V., Engle III R.</w:t>
      </w:r>
      <w:r w:rsidR="0062688C" w:rsidRPr="00F15F35">
        <w:rPr>
          <w:rFonts w:cs="Times New Roman"/>
          <w:lang w:val="en-US"/>
        </w:rPr>
        <w:t xml:space="preserve">F., Steffen S. Why did bank stocks crash during COVID-19? </w:t>
      </w:r>
      <w:r w:rsidR="0062688C" w:rsidRPr="00F15F35">
        <w:rPr>
          <w:rStyle w:val="fontstyle01"/>
          <w:i/>
          <w:color w:val="auto"/>
          <w:lang w:val="en-US"/>
        </w:rPr>
        <w:t>NBER working paper series. Working Paper</w:t>
      </w:r>
      <w:r w:rsidR="0062688C" w:rsidRPr="00F15F35">
        <w:rPr>
          <w:rStyle w:val="fontstyle01"/>
          <w:color w:val="auto"/>
          <w:lang w:val="en-US"/>
        </w:rPr>
        <w:t>.</w:t>
      </w:r>
      <w:r w:rsidR="0062688C" w:rsidRPr="00F15F35">
        <w:rPr>
          <w:rStyle w:val="fontstyle01"/>
          <w:i/>
          <w:color w:val="auto"/>
          <w:lang w:val="en-US"/>
        </w:rPr>
        <w:t xml:space="preserve"> </w:t>
      </w:r>
      <w:r w:rsidR="0062688C" w:rsidRPr="00F15F35">
        <w:rPr>
          <w:rStyle w:val="fontstyle01"/>
          <w:color w:val="auto"/>
          <w:lang w:val="en-US"/>
        </w:rPr>
        <w:t xml:space="preserve">2021. № 28559. URL: </w:t>
      </w:r>
      <w:r w:rsidR="0062688C" w:rsidRPr="00F15F35">
        <w:rPr>
          <w:rFonts w:cs="Times New Roman"/>
          <w:szCs w:val="28"/>
          <w:lang w:val="en-US"/>
        </w:rPr>
        <w:t>http://www.nber.org/papers/w28559</w:t>
      </w:r>
      <w:bookmarkEnd w:id="10"/>
      <w:r w:rsidR="0062688C" w:rsidRPr="00F15F35">
        <w:rPr>
          <w:rFonts w:cs="Times New Roman"/>
          <w:szCs w:val="28"/>
        </w:rPr>
        <w:t xml:space="preserve"> (дата звернення: 02.09.2021).</w:t>
      </w:r>
    </w:p>
    <w:p w:rsidR="0062688C" w:rsidRPr="00F15F35" w:rsidRDefault="00F15F35" w:rsidP="00F15F35">
      <w:pPr>
        <w:pStyle w:val="a4"/>
        <w:numPr>
          <w:ilvl w:val="0"/>
          <w:numId w:val="1"/>
        </w:numPr>
        <w:tabs>
          <w:tab w:val="left" w:pos="709"/>
        </w:tabs>
        <w:ind w:left="0" w:firstLine="284"/>
        <w:rPr>
          <w:rFonts w:cs="Times New Roman"/>
        </w:rPr>
      </w:pPr>
      <w:bookmarkStart w:id="11" w:name="_Ref84272135"/>
      <w:proofErr w:type="spellStart"/>
      <w:r>
        <w:rPr>
          <w:rFonts w:cs="Times New Roman"/>
        </w:rPr>
        <w:t>Шемаєва</w:t>
      </w:r>
      <w:proofErr w:type="spellEnd"/>
      <w:r>
        <w:rPr>
          <w:rFonts w:cs="Times New Roman"/>
        </w:rPr>
        <w:t xml:space="preserve"> Л.</w:t>
      </w:r>
      <w:r w:rsidR="0062688C" w:rsidRPr="00F15F35">
        <w:rPr>
          <w:rFonts w:cs="Times New Roman"/>
        </w:rPr>
        <w:t>Г. Проблеми та перспективи зміцнення стійкості фінансової системи України. URL: https://niss.gov.ua/sites/default/files/2020-05/rozgornuta-versiya-dopovidi-shemaevoi-l.g.pdf</w:t>
      </w:r>
      <w:bookmarkEnd w:id="11"/>
      <w:r w:rsidR="0062688C" w:rsidRPr="00F15F35">
        <w:rPr>
          <w:rFonts w:cs="Times New Roman"/>
        </w:rPr>
        <w:t xml:space="preserve"> </w:t>
      </w:r>
      <w:r w:rsidR="0062688C" w:rsidRPr="00F15F35">
        <w:rPr>
          <w:rFonts w:cs="Times New Roman"/>
          <w:szCs w:val="28"/>
        </w:rPr>
        <w:t>(дата звернення: 02.09.2021).</w:t>
      </w:r>
    </w:p>
    <w:p w:rsidR="0062688C" w:rsidRPr="00F15F35" w:rsidRDefault="0062688C" w:rsidP="00F15F35">
      <w:pPr>
        <w:pStyle w:val="a4"/>
        <w:numPr>
          <w:ilvl w:val="0"/>
          <w:numId w:val="1"/>
        </w:numPr>
        <w:tabs>
          <w:tab w:val="left" w:pos="709"/>
        </w:tabs>
        <w:ind w:left="0" w:firstLine="284"/>
        <w:rPr>
          <w:rFonts w:cs="Times New Roman"/>
        </w:rPr>
      </w:pPr>
      <w:bookmarkStart w:id="12" w:name="_Ref83051131"/>
      <w:proofErr w:type="spellStart"/>
      <w:r w:rsidRPr="00F15F35">
        <w:rPr>
          <w:rFonts w:cs="Times New Roman"/>
        </w:rPr>
        <w:t>Кривов</w:t>
      </w:r>
      <w:r w:rsidR="00F113F3" w:rsidRPr="00F15F35">
        <w:rPr>
          <w:rFonts w:cs="Times New Roman"/>
        </w:rPr>
        <w:t>’</w:t>
      </w:r>
      <w:r w:rsidR="00F15F35">
        <w:rPr>
          <w:rFonts w:cs="Times New Roman"/>
        </w:rPr>
        <w:t>язюк</w:t>
      </w:r>
      <w:proofErr w:type="spellEnd"/>
      <w:r w:rsidR="00F15F35">
        <w:rPr>
          <w:rFonts w:cs="Times New Roman"/>
        </w:rPr>
        <w:t xml:space="preserve"> І.</w:t>
      </w:r>
      <w:r w:rsidRPr="00F15F35">
        <w:rPr>
          <w:rFonts w:cs="Times New Roman"/>
        </w:rPr>
        <w:t xml:space="preserve">В. Економічні наслідки поширення COVID-19 та проблема банкрутства в Україні. </w:t>
      </w:r>
      <w:r w:rsidRPr="00F15F35">
        <w:rPr>
          <w:rFonts w:cs="Times New Roman"/>
          <w:i/>
        </w:rPr>
        <w:t>Сучасні питання економіки і права</w:t>
      </w:r>
      <w:r w:rsidRPr="00F15F35">
        <w:rPr>
          <w:rFonts w:cs="Times New Roman"/>
        </w:rPr>
        <w:t>.</w:t>
      </w:r>
      <w:r w:rsidR="00F15F35">
        <w:rPr>
          <w:rFonts w:cs="Times New Roman"/>
        </w:rPr>
        <w:t xml:space="preserve"> 2020. </w:t>
      </w:r>
      <w:proofErr w:type="spellStart"/>
      <w:r w:rsidR="00F15F35">
        <w:rPr>
          <w:rFonts w:cs="Times New Roman"/>
        </w:rPr>
        <w:t>Вип</w:t>
      </w:r>
      <w:proofErr w:type="spellEnd"/>
      <w:r w:rsidR="00F15F35">
        <w:rPr>
          <w:rFonts w:cs="Times New Roman"/>
        </w:rPr>
        <w:t>. 1. С. 146</w:t>
      </w:r>
      <w:r w:rsidR="00F15F35">
        <w:t>–</w:t>
      </w:r>
      <w:r w:rsidRPr="00F15F35">
        <w:rPr>
          <w:rFonts w:cs="Times New Roman"/>
        </w:rPr>
        <w:t>153.</w:t>
      </w:r>
      <w:bookmarkEnd w:id="12"/>
    </w:p>
    <w:p w:rsidR="0062688C" w:rsidRPr="00F15F35" w:rsidRDefault="00F15F35" w:rsidP="00F15F35">
      <w:pPr>
        <w:pStyle w:val="a4"/>
        <w:numPr>
          <w:ilvl w:val="0"/>
          <w:numId w:val="1"/>
        </w:numPr>
        <w:tabs>
          <w:tab w:val="left" w:pos="709"/>
        </w:tabs>
        <w:ind w:left="0" w:firstLine="284"/>
        <w:rPr>
          <w:rFonts w:cs="Times New Roman"/>
        </w:rPr>
      </w:pPr>
      <w:bookmarkStart w:id="13" w:name="_Ref83051289"/>
      <w:r>
        <w:rPr>
          <w:rFonts w:cs="Times New Roman"/>
        </w:rPr>
        <w:t>Довгань Ж.</w:t>
      </w:r>
      <w:r w:rsidR="0062688C" w:rsidRPr="00F15F35">
        <w:rPr>
          <w:rFonts w:cs="Times New Roman"/>
        </w:rPr>
        <w:t xml:space="preserve">М. Виклики банків в умовах пандемії COVID-19. </w:t>
      </w:r>
      <w:r w:rsidR="0062688C" w:rsidRPr="00F15F35">
        <w:rPr>
          <w:rFonts w:cs="Times New Roman"/>
          <w:i/>
        </w:rPr>
        <w:t>Інноваційна економіка</w:t>
      </w:r>
      <w:r>
        <w:rPr>
          <w:rFonts w:cs="Times New Roman"/>
        </w:rPr>
        <w:t>. 2020. № 7</w:t>
      </w:r>
      <w:r>
        <w:t>–</w:t>
      </w:r>
      <w:r>
        <w:rPr>
          <w:rFonts w:cs="Times New Roman"/>
        </w:rPr>
        <w:t>8. С. 119</w:t>
      </w:r>
      <w:r>
        <w:t>–</w:t>
      </w:r>
      <w:r w:rsidR="0062688C" w:rsidRPr="00F15F35">
        <w:rPr>
          <w:rFonts w:cs="Times New Roman"/>
        </w:rPr>
        <w:t>124.</w:t>
      </w:r>
      <w:bookmarkEnd w:id="13"/>
    </w:p>
    <w:p w:rsidR="0062688C" w:rsidRPr="00F15F35" w:rsidRDefault="0062688C" w:rsidP="00F15F35">
      <w:pPr>
        <w:pStyle w:val="a4"/>
        <w:numPr>
          <w:ilvl w:val="0"/>
          <w:numId w:val="1"/>
        </w:numPr>
        <w:tabs>
          <w:tab w:val="left" w:pos="709"/>
        </w:tabs>
        <w:ind w:left="0" w:firstLine="284"/>
        <w:rPr>
          <w:rFonts w:cs="Times New Roman"/>
          <w:lang w:val="en-US"/>
        </w:rPr>
      </w:pPr>
      <w:bookmarkStart w:id="14" w:name="_Ref83051870"/>
      <w:proofErr w:type="spellStart"/>
      <w:r w:rsidRPr="00F15F35">
        <w:rPr>
          <w:rFonts w:cs="Times New Roman"/>
          <w:lang w:val="en-US"/>
        </w:rPr>
        <w:t>Porretta</w:t>
      </w:r>
      <w:proofErr w:type="spellEnd"/>
      <w:r w:rsidRPr="00F15F35">
        <w:rPr>
          <w:rFonts w:cs="Times New Roman"/>
          <w:lang w:val="en-US"/>
        </w:rPr>
        <w:t xml:space="preserve"> P., </w:t>
      </w:r>
      <w:proofErr w:type="spellStart"/>
      <w:r w:rsidRPr="00F15F35">
        <w:rPr>
          <w:rFonts w:cs="Times New Roman"/>
          <w:lang w:val="en-US"/>
        </w:rPr>
        <w:t>Benassi</w:t>
      </w:r>
      <w:proofErr w:type="spellEnd"/>
      <w:r w:rsidRPr="00F15F35">
        <w:rPr>
          <w:rFonts w:cs="Times New Roman"/>
          <w:lang w:val="en-US"/>
        </w:rPr>
        <w:t xml:space="preserve"> A. Sustainable vs. not sustainable cooperative banks business model: The case of GBCI and the authority view. </w:t>
      </w:r>
      <w:r w:rsidRPr="00F15F35">
        <w:rPr>
          <w:rFonts w:cs="Times New Roman"/>
          <w:i/>
          <w:lang w:val="en-US"/>
        </w:rPr>
        <w:t>Risk Governance and Control: Financial Markets &amp; Institutions</w:t>
      </w:r>
      <w:r w:rsidRPr="00F15F35">
        <w:rPr>
          <w:rFonts w:cs="Times New Roman"/>
          <w:lang w:val="en-US"/>
        </w:rPr>
        <w:t>. 2021. № 11</w:t>
      </w:r>
      <w:r w:rsidR="00F15F35">
        <w:rPr>
          <w:rFonts w:cs="Times New Roman"/>
        </w:rPr>
        <w:t xml:space="preserve"> </w:t>
      </w:r>
      <w:r w:rsidR="00F15F35">
        <w:rPr>
          <w:rFonts w:cs="Times New Roman"/>
          <w:lang w:val="en-US"/>
        </w:rPr>
        <w:t xml:space="preserve">(1). </w:t>
      </w:r>
      <w:proofErr w:type="gramStart"/>
      <w:r w:rsidR="00F15F35">
        <w:rPr>
          <w:rFonts w:cs="Times New Roman"/>
          <w:lang w:val="en-US"/>
        </w:rPr>
        <w:t>Р. 33</w:t>
      </w:r>
      <w:proofErr w:type="gramEnd"/>
      <w:r w:rsidR="00F15F35">
        <w:t>–</w:t>
      </w:r>
      <w:r w:rsidRPr="00F15F35">
        <w:rPr>
          <w:rFonts w:cs="Times New Roman"/>
          <w:lang w:val="en-US"/>
        </w:rPr>
        <w:t>48. URL: https://doi.org/10.22495/rgcv11i1p3</w:t>
      </w:r>
      <w:bookmarkEnd w:id="14"/>
      <w:r w:rsidRPr="00F15F35">
        <w:rPr>
          <w:rFonts w:cs="Times New Roman"/>
          <w:lang w:val="en-US"/>
        </w:rPr>
        <w:t xml:space="preserve"> </w:t>
      </w:r>
      <w:r w:rsidRPr="00F15F35">
        <w:rPr>
          <w:rFonts w:cs="Times New Roman"/>
          <w:szCs w:val="28"/>
          <w:lang w:val="en-US"/>
        </w:rPr>
        <w:t>(</w:t>
      </w:r>
      <w:proofErr w:type="spellStart"/>
      <w:r w:rsidRPr="00F15F35">
        <w:rPr>
          <w:rFonts w:cs="Times New Roman"/>
          <w:szCs w:val="28"/>
          <w:lang w:val="en-US"/>
        </w:rPr>
        <w:t>дата</w:t>
      </w:r>
      <w:proofErr w:type="spellEnd"/>
      <w:r w:rsidRPr="00F15F35">
        <w:rPr>
          <w:rFonts w:cs="Times New Roman"/>
          <w:szCs w:val="28"/>
          <w:lang w:val="en-US"/>
        </w:rPr>
        <w:t xml:space="preserve"> </w:t>
      </w:r>
      <w:proofErr w:type="spellStart"/>
      <w:r w:rsidRPr="00F15F35">
        <w:rPr>
          <w:rFonts w:cs="Times New Roman"/>
          <w:szCs w:val="28"/>
          <w:lang w:val="en-US"/>
        </w:rPr>
        <w:t>звернення</w:t>
      </w:r>
      <w:proofErr w:type="spellEnd"/>
      <w:r w:rsidRPr="00F15F35">
        <w:rPr>
          <w:rFonts w:cs="Times New Roman"/>
          <w:szCs w:val="28"/>
          <w:lang w:val="en-US"/>
        </w:rPr>
        <w:t>: 02.09.2021).</w:t>
      </w:r>
    </w:p>
    <w:p w:rsidR="0062688C" w:rsidRPr="00F15F35" w:rsidRDefault="0062688C" w:rsidP="00F15F35">
      <w:pPr>
        <w:pStyle w:val="a4"/>
        <w:numPr>
          <w:ilvl w:val="0"/>
          <w:numId w:val="1"/>
        </w:numPr>
        <w:tabs>
          <w:tab w:val="left" w:pos="709"/>
        </w:tabs>
        <w:ind w:left="0" w:firstLine="284"/>
        <w:rPr>
          <w:rFonts w:cs="Times New Roman"/>
          <w:lang w:val="en-US"/>
        </w:rPr>
      </w:pPr>
      <w:bookmarkStart w:id="15" w:name="_Ref83233778"/>
      <w:proofErr w:type="spellStart"/>
      <w:r w:rsidRPr="00F15F35">
        <w:rPr>
          <w:rFonts w:cs="Times New Roman"/>
          <w:lang w:val="en-US"/>
        </w:rPr>
        <w:t>Teresiene</w:t>
      </w:r>
      <w:proofErr w:type="spellEnd"/>
      <w:r w:rsidRPr="00F15F35">
        <w:rPr>
          <w:rFonts w:cs="Times New Roman"/>
          <w:lang w:val="en-US"/>
        </w:rPr>
        <w:t xml:space="preserve"> D., </w:t>
      </w:r>
      <w:proofErr w:type="spellStart"/>
      <w:r w:rsidRPr="00F15F35">
        <w:rPr>
          <w:rFonts w:cs="Times New Roman"/>
          <w:lang w:val="en-US"/>
        </w:rPr>
        <w:t>Keliuotyte-Staniulenien</w:t>
      </w:r>
      <w:proofErr w:type="spellEnd"/>
      <w:r w:rsidR="00F113F3" w:rsidRPr="00F15F35">
        <w:rPr>
          <w:rFonts w:cs="Times New Roman"/>
          <w:lang w:val="en-US"/>
        </w:rPr>
        <w:t xml:space="preserve"> </w:t>
      </w:r>
      <w:r w:rsidR="00F15F35">
        <w:rPr>
          <w:rFonts w:cs="Times New Roman"/>
          <w:lang w:val="en-US"/>
        </w:rPr>
        <w:t>E.</w:t>
      </w:r>
      <w:r w:rsidRPr="00F15F35">
        <w:rPr>
          <w:rFonts w:cs="Times New Roman"/>
          <w:lang w:val="en-US"/>
        </w:rPr>
        <w:t xml:space="preserve">G., </w:t>
      </w:r>
      <w:proofErr w:type="spellStart"/>
      <w:r w:rsidRPr="00F15F35">
        <w:rPr>
          <w:rFonts w:cs="Times New Roman"/>
          <w:lang w:val="en-US"/>
        </w:rPr>
        <w:t>Kanapickiene</w:t>
      </w:r>
      <w:proofErr w:type="spellEnd"/>
      <w:r w:rsidRPr="00F15F35">
        <w:rPr>
          <w:rFonts w:cs="Times New Roman"/>
          <w:lang w:val="en-US"/>
        </w:rPr>
        <w:t xml:space="preserve"> R. Sustainable Economic Growth Support through Credit Transmission Channel and Financial Stability: In the Context of the COVID-19 Pandemic. </w:t>
      </w:r>
      <w:r w:rsidRPr="00F15F35">
        <w:rPr>
          <w:rFonts w:cs="Times New Roman"/>
          <w:i/>
          <w:lang w:val="en-US"/>
        </w:rPr>
        <w:t>Sustainability</w:t>
      </w:r>
      <w:r w:rsidRPr="00F15F35">
        <w:rPr>
          <w:rFonts w:cs="Times New Roman"/>
          <w:lang w:val="en-US"/>
        </w:rPr>
        <w:t>. 2021. № 13.</w:t>
      </w:r>
      <w:r w:rsidR="00F15F35">
        <w:rPr>
          <w:rFonts w:cs="Times New Roman"/>
          <w:lang w:val="en-US"/>
        </w:rPr>
        <w:t xml:space="preserve"> DOI</w:t>
      </w:r>
      <w:r w:rsidRPr="00F15F35">
        <w:rPr>
          <w:rFonts w:cs="Times New Roman"/>
          <w:lang w:val="en-US"/>
        </w:rPr>
        <w:t xml:space="preserve">: </w:t>
      </w:r>
      <w:r w:rsidR="00F15F35" w:rsidRPr="00F15F35">
        <w:rPr>
          <w:rFonts w:cs="Times New Roman"/>
          <w:lang w:val="en-US"/>
        </w:rPr>
        <w:t>https://doi.org/10.3390/su13052692</w:t>
      </w:r>
      <w:bookmarkEnd w:id="15"/>
      <w:r w:rsidR="00F15F35">
        <w:rPr>
          <w:rFonts w:cs="Times New Roman"/>
          <w:lang w:val="en-US"/>
        </w:rPr>
        <w:t xml:space="preserve"> </w:t>
      </w:r>
      <w:r w:rsidRPr="00F15F35">
        <w:rPr>
          <w:rFonts w:cs="Times New Roman"/>
          <w:szCs w:val="28"/>
          <w:lang w:val="en-US"/>
        </w:rPr>
        <w:t>(</w:t>
      </w:r>
      <w:proofErr w:type="spellStart"/>
      <w:r w:rsidRPr="00F15F35">
        <w:rPr>
          <w:rFonts w:cs="Times New Roman"/>
          <w:szCs w:val="28"/>
          <w:lang w:val="en-US"/>
        </w:rPr>
        <w:t>дата</w:t>
      </w:r>
      <w:proofErr w:type="spellEnd"/>
      <w:r w:rsidRPr="00F15F35">
        <w:rPr>
          <w:rFonts w:cs="Times New Roman"/>
          <w:szCs w:val="28"/>
          <w:lang w:val="en-US"/>
        </w:rPr>
        <w:t xml:space="preserve"> </w:t>
      </w:r>
      <w:proofErr w:type="spellStart"/>
      <w:r w:rsidRPr="00F15F35">
        <w:rPr>
          <w:rFonts w:cs="Times New Roman"/>
          <w:szCs w:val="28"/>
          <w:lang w:val="en-US"/>
        </w:rPr>
        <w:t>звернення</w:t>
      </w:r>
      <w:proofErr w:type="spellEnd"/>
      <w:r w:rsidRPr="00F15F35">
        <w:rPr>
          <w:rFonts w:cs="Times New Roman"/>
          <w:szCs w:val="28"/>
          <w:lang w:val="en-US"/>
        </w:rPr>
        <w:t>: 02.09.2021).</w:t>
      </w:r>
    </w:p>
    <w:p w:rsidR="0062688C" w:rsidRPr="00F15F35" w:rsidRDefault="0062688C" w:rsidP="00F15F35">
      <w:pPr>
        <w:pStyle w:val="a4"/>
        <w:numPr>
          <w:ilvl w:val="0"/>
          <w:numId w:val="1"/>
        </w:numPr>
        <w:tabs>
          <w:tab w:val="left" w:pos="709"/>
        </w:tabs>
        <w:ind w:left="0" w:firstLine="284"/>
      </w:pPr>
      <w:bookmarkStart w:id="16" w:name="_Ref76482532"/>
      <w:bookmarkStart w:id="17" w:name="_Ref83997746"/>
      <w:r w:rsidRPr="00F15F35">
        <w:lastRenderedPageBreak/>
        <w:t>Дані наглядової статист</w:t>
      </w:r>
      <w:r w:rsidR="00F15F35">
        <w:t>ики / Національний банк України</w:t>
      </w:r>
      <w:r w:rsidRPr="00F15F35">
        <w:t>. URL: https://bank.gov.ua</w:t>
      </w:r>
      <w:bookmarkEnd w:id="16"/>
      <w:r w:rsidRPr="00F15F35">
        <w:t xml:space="preserve"> (дата звернення: 10.06.2021).</w:t>
      </w:r>
      <w:bookmarkEnd w:id="17"/>
    </w:p>
    <w:p w:rsidR="0062688C" w:rsidRPr="00F15F35" w:rsidRDefault="0062688C" w:rsidP="00F113F3">
      <w:pPr>
        <w:ind w:firstLine="709"/>
      </w:pPr>
    </w:p>
    <w:p w:rsidR="0062688C" w:rsidRPr="00F15F35" w:rsidRDefault="0062688C" w:rsidP="00F113F3">
      <w:pPr>
        <w:ind w:firstLine="709"/>
        <w:jc w:val="center"/>
        <w:rPr>
          <w:b/>
        </w:rPr>
      </w:pPr>
      <w:r w:rsidRPr="00F15F35">
        <w:rPr>
          <w:b/>
        </w:rPr>
        <w:t>REFERENCES:</w:t>
      </w:r>
    </w:p>
    <w:p w:rsidR="0062688C" w:rsidRPr="00F15F35" w:rsidRDefault="0062688C" w:rsidP="00F15F35">
      <w:pPr>
        <w:pStyle w:val="a4"/>
        <w:numPr>
          <w:ilvl w:val="0"/>
          <w:numId w:val="4"/>
        </w:numPr>
        <w:tabs>
          <w:tab w:val="left" w:pos="709"/>
        </w:tabs>
        <w:ind w:left="0" w:firstLine="284"/>
        <w:rPr>
          <w:rFonts w:cs="Times New Roman"/>
          <w:lang w:val="en-US"/>
        </w:rPr>
      </w:pPr>
      <w:proofErr w:type="spellStart"/>
      <w:r w:rsidRPr="00F15F35">
        <w:rPr>
          <w:rFonts w:cs="Times New Roman"/>
          <w:lang w:val="en-US"/>
        </w:rPr>
        <w:t>Zvit</w:t>
      </w:r>
      <w:proofErr w:type="spellEnd"/>
      <w:r w:rsidRPr="00F15F35">
        <w:rPr>
          <w:rFonts w:cs="Times New Roman"/>
          <w:lang w:val="en-US"/>
        </w:rPr>
        <w:t xml:space="preserve"> pro </w:t>
      </w:r>
      <w:proofErr w:type="spellStart"/>
      <w:r w:rsidRPr="00F15F35">
        <w:rPr>
          <w:rFonts w:cs="Times New Roman"/>
          <w:lang w:val="en-US"/>
        </w:rPr>
        <w:t>finansovu</w:t>
      </w:r>
      <w:proofErr w:type="spellEnd"/>
      <w:r w:rsidRPr="00F15F35">
        <w:rPr>
          <w:rFonts w:cs="Times New Roman"/>
          <w:lang w:val="en-US"/>
        </w:rPr>
        <w:t xml:space="preserve"> </w:t>
      </w:r>
      <w:proofErr w:type="spellStart"/>
      <w:r w:rsidRPr="00F15F35">
        <w:rPr>
          <w:rFonts w:cs="Times New Roman"/>
          <w:lang w:val="en-US"/>
        </w:rPr>
        <w:t>stabilnist</w:t>
      </w:r>
      <w:proofErr w:type="spellEnd"/>
      <w:r w:rsidRPr="00F15F35">
        <w:rPr>
          <w:rFonts w:cs="Times New Roman"/>
          <w:lang w:val="en-US"/>
        </w:rPr>
        <w:t xml:space="preserve">, </w:t>
      </w:r>
      <w:proofErr w:type="spellStart"/>
      <w:r w:rsidRPr="00F15F35">
        <w:rPr>
          <w:rFonts w:cs="Times New Roman"/>
          <w:lang w:val="en-US"/>
        </w:rPr>
        <w:t>hruden</w:t>
      </w:r>
      <w:proofErr w:type="spellEnd"/>
      <w:r w:rsidRPr="00F15F35">
        <w:rPr>
          <w:rFonts w:cs="Times New Roman"/>
          <w:lang w:val="en-US"/>
        </w:rPr>
        <w:t xml:space="preserve"> 2020 </w:t>
      </w:r>
      <w:proofErr w:type="spellStart"/>
      <w:r w:rsidRPr="00F15F35">
        <w:rPr>
          <w:rFonts w:cs="Times New Roman"/>
          <w:lang w:val="en-US"/>
        </w:rPr>
        <w:t>roku</w:t>
      </w:r>
      <w:proofErr w:type="spellEnd"/>
      <w:r w:rsidRPr="00F15F35">
        <w:rPr>
          <w:rFonts w:cs="Times New Roman"/>
          <w:lang w:val="en-US"/>
        </w:rPr>
        <w:t xml:space="preserve"> [Financial Stability Report, December 2020]. National Bank of Ukraine. Available at: https://bank.gov.ua/admin_uploads/article/FSR_2020-H2.pdf?v=4 (accessed: 21 June 2021).</w:t>
      </w:r>
    </w:p>
    <w:p w:rsidR="0062688C" w:rsidRPr="00F15F35" w:rsidRDefault="0062688C" w:rsidP="00F15F35">
      <w:pPr>
        <w:pStyle w:val="a4"/>
        <w:numPr>
          <w:ilvl w:val="0"/>
          <w:numId w:val="4"/>
        </w:numPr>
        <w:tabs>
          <w:tab w:val="left" w:pos="709"/>
        </w:tabs>
        <w:ind w:left="0" w:firstLine="284"/>
        <w:rPr>
          <w:rFonts w:cs="Times New Roman"/>
          <w:lang w:val="en-US"/>
        </w:rPr>
      </w:pPr>
      <w:proofErr w:type="spellStart"/>
      <w:r w:rsidRPr="00F15F35">
        <w:rPr>
          <w:rFonts w:cs="Times New Roman"/>
          <w:lang w:val="en-US"/>
        </w:rPr>
        <w:t>Predstavnytstvo</w:t>
      </w:r>
      <w:proofErr w:type="spellEnd"/>
      <w:r w:rsidRPr="00F15F35">
        <w:rPr>
          <w:rFonts w:cs="Times New Roman"/>
          <w:lang w:val="en-US"/>
        </w:rPr>
        <w:t xml:space="preserve"> </w:t>
      </w:r>
      <w:proofErr w:type="spellStart"/>
      <w:r w:rsidRPr="00F15F35">
        <w:rPr>
          <w:rFonts w:cs="Times New Roman"/>
          <w:lang w:val="en-US"/>
        </w:rPr>
        <w:t>Fon</w:t>
      </w:r>
      <w:r w:rsidR="00F15F35">
        <w:rPr>
          <w:rFonts w:cs="Times New Roman"/>
          <w:lang w:val="en-US"/>
        </w:rPr>
        <w:t>du</w:t>
      </w:r>
      <w:proofErr w:type="spellEnd"/>
      <w:r w:rsidR="00F15F35">
        <w:rPr>
          <w:rFonts w:cs="Times New Roman"/>
          <w:lang w:val="en-US"/>
        </w:rPr>
        <w:t xml:space="preserve"> </w:t>
      </w:r>
      <w:proofErr w:type="spellStart"/>
      <w:r w:rsidR="00F15F35">
        <w:rPr>
          <w:rFonts w:cs="Times New Roman"/>
          <w:lang w:val="en-US"/>
        </w:rPr>
        <w:t>Konrada</w:t>
      </w:r>
      <w:proofErr w:type="spellEnd"/>
      <w:r w:rsidR="00F15F35">
        <w:rPr>
          <w:rFonts w:cs="Times New Roman"/>
          <w:lang w:val="en-US"/>
        </w:rPr>
        <w:t xml:space="preserve"> </w:t>
      </w:r>
      <w:proofErr w:type="spellStart"/>
      <w:r w:rsidR="00F15F35">
        <w:rPr>
          <w:rFonts w:cs="Times New Roman"/>
          <w:lang w:val="en-US"/>
        </w:rPr>
        <w:t>Adenauera</w:t>
      </w:r>
      <w:proofErr w:type="spellEnd"/>
      <w:r w:rsidR="00F15F35">
        <w:rPr>
          <w:rFonts w:cs="Times New Roman"/>
          <w:lang w:val="en-US"/>
        </w:rPr>
        <w:t xml:space="preserve"> v </w:t>
      </w:r>
      <w:proofErr w:type="spellStart"/>
      <w:r w:rsidR="00F15F35">
        <w:rPr>
          <w:rFonts w:cs="Times New Roman"/>
          <w:lang w:val="en-US"/>
        </w:rPr>
        <w:t>Ukraini</w:t>
      </w:r>
      <w:proofErr w:type="spellEnd"/>
      <w:r w:rsidR="00F15F35">
        <w:rPr>
          <w:rFonts w:cs="Times New Roman"/>
          <w:lang w:val="en-US"/>
        </w:rPr>
        <w:t xml:space="preserve"> “</w:t>
      </w:r>
      <w:proofErr w:type="spellStart"/>
      <w:r w:rsidRPr="00F15F35">
        <w:rPr>
          <w:rFonts w:cs="Times New Roman"/>
          <w:lang w:val="en-US"/>
        </w:rPr>
        <w:t>Vplyv</w:t>
      </w:r>
      <w:proofErr w:type="spellEnd"/>
      <w:r w:rsidRPr="00F15F35">
        <w:rPr>
          <w:rFonts w:cs="Times New Roman"/>
          <w:lang w:val="en-US"/>
        </w:rPr>
        <w:t xml:space="preserve"> COVID-19 ta </w:t>
      </w:r>
      <w:proofErr w:type="spellStart"/>
      <w:r w:rsidRPr="00F15F35">
        <w:rPr>
          <w:rFonts w:cs="Times New Roman"/>
          <w:lang w:val="en-US"/>
        </w:rPr>
        <w:t>karantynnyk</w:t>
      </w:r>
      <w:r w:rsidR="00F15F35">
        <w:rPr>
          <w:rFonts w:cs="Times New Roman"/>
          <w:lang w:val="en-US"/>
        </w:rPr>
        <w:t>h</w:t>
      </w:r>
      <w:proofErr w:type="spellEnd"/>
      <w:r w:rsidR="00F15F35">
        <w:rPr>
          <w:rFonts w:cs="Times New Roman"/>
          <w:lang w:val="en-US"/>
        </w:rPr>
        <w:t xml:space="preserve"> </w:t>
      </w:r>
      <w:proofErr w:type="spellStart"/>
      <w:r w:rsidR="00F15F35">
        <w:rPr>
          <w:rFonts w:cs="Times New Roman"/>
          <w:lang w:val="en-US"/>
        </w:rPr>
        <w:t>obmezhen</w:t>
      </w:r>
      <w:proofErr w:type="spellEnd"/>
      <w:r w:rsidR="00F15F35">
        <w:rPr>
          <w:rFonts w:cs="Times New Roman"/>
          <w:lang w:val="en-US"/>
        </w:rPr>
        <w:t xml:space="preserve"> </w:t>
      </w:r>
      <w:proofErr w:type="spellStart"/>
      <w:proofErr w:type="gramStart"/>
      <w:r w:rsidR="00F15F35">
        <w:rPr>
          <w:rFonts w:cs="Times New Roman"/>
          <w:lang w:val="en-US"/>
        </w:rPr>
        <w:t>na</w:t>
      </w:r>
      <w:proofErr w:type="spellEnd"/>
      <w:proofErr w:type="gramEnd"/>
      <w:r w:rsidR="00F15F35">
        <w:rPr>
          <w:rFonts w:cs="Times New Roman"/>
          <w:lang w:val="en-US"/>
        </w:rPr>
        <w:t xml:space="preserve"> </w:t>
      </w:r>
      <w:proofErr w:type="spellStart"/>
      <w:r w:rsidR="00F15F35">
        <w:rPr>
          <w:rFonts w:cs="Times New Roman"/>
          <w:lang w:val="en-US"/>
        </w:rPr>
        <w:t>ekonomiku</w:t>
      </w:r>
      <w:proofErr w:type="spellEnd"/>
      <w:r w:rsidR="00F15F35">
        <w:rPr>
          <w:rFonts w:cs="Times New Roman"/>
          <w:lang w:val="en-US"/>
        </w:rPr>
        <w:t xml:space="preserve"> </w:t>
      </w:r>
      <w:proofErr w:type="spellStart"/>
      <w:r w:rsidR="00F15F35">
        <w:rPr>
          <w:rFonts w:cs="Times New Roman"/>
          <w:lang w:val="en-US"/>
        </w:rPr>
        <w:t>Ukrainy</w:t>
      </w:r>
      <w:proofErr w:type="spellEnd"/>
      <w:r w:rsidR="00F15F35">
        <w:rPr>
          <w:rFonts w:cs="Times New Roman"/>
          <w:lang w:val="en-US"/>
        </w:rPr>
        <w:t>”</w:t>
      </w:r>
      <w:r w:rsidRPr="00F15F35">
        <w:rPr>
          <w:rFonts w:cs="Times New Roman"/>
          <w:lang w:val="en-US"/>
        </w:rPr>
        <w:t xml:space="preserve"> [Representation of the Konrad </w:t>
      </w:r>
      <w:r w:rsidR="00F15F35">
        <w:rPr>
          <w:rFonts w:cs="Times New Roman"/>
          <w:lang w:val="en-US"/>
        </w:rPr>
        <w:t>Adenauer Foundation in Ukraine “</w:t>
      </w:r>
      <w:r w:rsidRPr="00F15F35">
        <w:rPr>
          <w:rFonts w:cs="Times New Roman"/>
          <w:lang w:val="en-US"/>
        </w:rPr>
        <w:t>Impact of COVID-19 and quarantine restric</w:t>
      </w:r>
      <w:r w:rsidR="00F15F35">
        <w:rPr>
          <w:rFonts w:cs="Times New Roman"/>
          <w:lang w:val="en-US"/>
        </w:rPr>
        <w:t>tions on the economy of Ukraine”]. NGO “Center for Applied Research”</w:t>
      </w:r>
      <w:r w:rsidRPr="00F15F35">
        <w:rPr>
          <w:rFonts w:cs="Times New Roman"/>
          <w:lang w:val="en-US"/>
        </w:rPr>
        <w:t>. Available at: https://www.kas.de/documents/270026/8703904Version = 1.0 &amp; t = 1597301</w:t>
      </w:r>
      <w:r w:rsidR="00F15F35">
        <w:rPr>
          <w:rFonts w:cs="Times New Roman"/>
          <w:lang w:val="en-US"/>
        </w:rPr>
        <w:t>028775 (accessed 21 June 2021)</w:t>
      </w:r>
      <w:r w:rsidRPr="00F15F35">
        <w:rPr>
          <w:rFonts w:cs="Times New Roman"/>
          <w:lang w:val="en-US"/>
        </w:rPr>
        <w:t>.</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Zhytar</w:t>
      </w:r>
      <w:proofErr w:type="spellEnd"/>
      <w:r>
        <w:rPr>
          <w:rFonts w:cs="Times New Roman"/>
          <w:lang w:val="en-US"/>
        </w:rPr>
        <w:t xml:space="preserve"> M.O., </w:t>
      </w:r>
      <w:proofErr w:type="spellStart"/>
      <w:r>
        <w:rPr>
          <w:rFonts w:cs="Times New Roman"/>
          <w:lang w:val="en-US"/>
        </w:rPr>
        <w:t>Yasentiuk</w:t>
      </w:r>
      <w:proofErr w:type="spellEnd"/>
      <w:r>
        <w:rPr>
          <w:rFonts w:cs="Times New Roman"/>
          <w:lang w:val="en-US"/>
        </w:rPr>
        <w:t xml:space="preserve"> A.</w:t>
      </w:r>
      <w:r w:rsidR="0062688C" w:rsidRPr="00F15F35">
        <w:rPr>
          <w:rFonts w:cs="Times New Roman"/>
          <w:lang w:val="en-US"/>
        </w:rPr>
        <w:t xml:space="preserve">S. (2021) </w:t>
      </w:r>
      <w:proofErr w:type="spellStart"/>
      <w:r w:rsidR="0062688C" w:rsidRPr="00F15F35">
        <w:rPr>
          <w:rFonts w:cs="Times New Roman"/>
          <w:lang w:val="en-US"/>
        </w:rPr>
        <w:t>Osoblyvosti</w:t>
      </w:r>
      <w:proofErr w:type="spellEnd"/>
      <w:r w:rsidR="0062688C" w:rsidRPr="00F15F35">
        <w:rPr>
          <w:rFonts w:cs="Times New Roman"/>
          <w:lang w:val="en-US"/>
        </w:rPr>
        <w:t xml:space="preserve"> </w:t>
      </w:r>
      <w:proofErr w:type="spellStart"/>
      <w:r w:rsidR="0062688C" w:rsidRPr="00F15F35">
        <w:rPr>
          <w:rFonts w:cs="Times New Roman"/>
          <w:lang w:val="en-US"/>
        </w:rPr>
        <w:t>funktsionuvannia</w:t>
      </w:r>
      <w:proofErr w:type="spellEnd"/>
      <w:r w:rsidR="0062688C" w:rsidRPr="00F15F35">
        <w:rPr>
          <w:rFonts w:cs="Times New Roman"/>
          <w:lang w:val="en-US"/>
        </w:rPr>
        <w:t xml:space="preserve"> </w:t>
      </w:r>
      <w:proofErr w:type="spellStart"/>
      <w:r w:rsidR="0062688C" w:rsidRPr="00F15F35">
        <w:rPr>
          <w:rFonts w:cs="Times New Roman"/>
          <w:lang w:val="en-US"/>
        </w:rPr>
        <w:t>bankivskoi</w:t>
      </w:r>
      <w:proofErr w:type="spellEnd"/>
      <w:r w:rsidR="0062688C" w:rsidRPr="00F15F35">
        <w:rPr>
          <w:rFonts w:cs="Times New Roman"/>
          <w:lang w:val="en-US"/>
        </w:rPr>
        <w:t xml:space="preserve"> </w:t>
      </w:r>
      <w:proofErr w:type="spellStart"/>
      <w:r w:rsidR="0062688C" w:rsidRPr="00F15F35">
        <w:rPr>
          <w:rFonts w:cs="Times New Roman"/>
          <w:lang w:val="en-US"/>
        </w:rPr>
        <w:t>systemy</w:t>
      </w:r>
      <w:proofErr w:type="spellEnd"/>
      <w:r w:rsidR="0062688C" w:rsidRPr="00F15F35">
        <w:rPr>
          <w:rFonts w:cs="Times New Roman"/>
          <w:lang w:val="en-US"/>
        </w:rPr>
        <w:t xml:space="preserve"> </w:t>
      </w:r>
      <w:proofErr w:type="spellStart"/>
      <w:r w:rsidR="0062688C" w:rsidRPr="00F15F35">
        <w:rPr>
          <w:rFonts w:cs="Times New Roman"/>
          <w:lang w:val="en-US"/>
        </w:rPr>
        <w:t>Ukrainy</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pandemii</w:t>
      </w:r>
      <w:proofErr w:type="spellEnd"/>
      <w:r w:rsidR="0062688C" w:rsidRPr="00F15F35">
        <w:rPr>
          <w:rFonts w:cs="Times New Roman"/>
          <w:lang w:val="en-US"/>
        </w:rPr>
        <w:t xml:space="preserve"> COVID-19 [Features of the banking system of Ukraine in a pandemic COVID-19]. </w:t>
      </w:r>
      <w:r w:rsidR="0062688C" w:rsidRPr="00F15F35">
        <w:rPr>
          <w:rFonts w:cs="Times New Roman"/>
          <w:i/>
          <w:lang w:val="en-US"/>
        </w:rPr>
        <w:t>Collection of scientific works of the University of the State Fiscal Service of Ukraine</w:t>
      </w:r>
      <w:r>
        <w:rPr>
          <w:rFonts w:cs="Times New Roman"/>
          <w:lang w:val="en-US"/>
        </w:rPr>
        <w:t>, no. 1, pp. 113</w:t>
      </w:r>
      <w:r>
        <w:t>–</w:t>
      </w:r>
      <w:r w:rsidR="0062688C" w:rsidRPr="00F15F35">
        <w:rPr>
          <w:rFonts w:cs="Times New Roman"/>
          <w:lang w:val="en-US"/>
        </w:rPr>
        <w:t>125.</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Dziubliuk</w:t>
      </w:r>
      <w:proofErr w:type="spellEnd"/>
      <w:r>
        <w:rPr>
          <w:rFonts w:cs="Times New Roman"/>
          <w:lang w:val="en-US"/>
        </w:rPr>
        <w:t xml:space="preserve"> O.</w:t>
      </w:r>
      <w:r w:rsidR="0062688C" w:rsidRPr="00F15F35">
        <w:rPr>
          <w:rFonts w:cs="Times New Roman"/>
          <w:lang w:val="en-US"/>
        </w:rPr>
        <w:t xml:space="preserve">V. (2020) </w:t>
      </w:r>
      <w:proofErr w:type="spellStart"/>
      <w:r w:rsidR="0062688C" w:rsidRPr="00F15F35">
        <w:rPr>
          <w:rFonts w:cs="Times New Roman"/>
          <w:lang w:val="en-US"/>
        </w:rPr>
        <w:t>Ekonomichnyi</w:t>
      </w:r>
      <w:proofErr w:type="spellEnd"/>
      <w:r w:rsidR="0062688C" w:rsidRPr="00F15F35">
        <w:rPr>
          <w:rFonts w:cs="Times New Roman"/>
          <w:lang w:val="en-US"/>
        </w:rPr>
        <w:t xml:space="preserve"> </w:t>
      </w:r>
      <w:proofErr w:type="spellStart"/>
      <w:r w:rsidR="0062688C" w:rsidRPr="00F15F35">
        <w:rPr>
          <w:rFonts w:cs="Times New Roman"/>
          <w:lang w:val="en-US"/>
        </w:rPr>
        <w:t>rozvytok</w:t>
      </w:r>
      <w:proofErr w:type="spellEnd"/>
      <w:r w:rsidR="0062688C" w:rsidRPr="00F15F35">
        <w:rPr>
          <w:rFonts w:cs="Times New Roman"/>
          <w:lang w:val="en-US"/>
        </w:rPr>
        <w:t xml:space="preserve"> </w:t>
      </w:r>
      <w:proofErr w:type="spellStart"/>
      <w:r w:rsidR="0062688C" w:rsidRPr="00F15F35">
        <w:rPr>
          <w:rFonts w:cs="Times New Roman"/>
          <w:lang w:val="en-US"/>
        </w:rPr>
        <w:t>i</w:t>
      </w:r>
      <w:proofErr w:type="spellEnd"/>
      <w:r w:rsidR="0062688C" w:rsidRPr="00F15F35">
        <w:rPr>
          <w:rFonts w:cs="Times New Roman"/>
          <w:lang w:val="en-US"/>
        </w:rPr>
        <w:t xml:space="preserve"> </w:t>
      </w:r>
      <w:proofErr w:type="spellStart"/>
      <w:r w:rsidR="0062688C" w:rsidRPr="00F15F35">
        <w:rPr>
          <w:rFonts w:cs="Times New Roman"/>
          <w:lang w:val="en-US"/>
        </w:rPr>
        <w:t>bankivskyi</w:t>
      </w:r>
      <w:proofErr w:type="spellEnd"/>
      <w:r w:rsidR="0062688C" w:rsidRPr="00F15F35">
        <w:rPr>
          <w:rFonts w:cs="Times New Roman"/>
          <w:lang w:val="en-US"/>
        </w:rPr>
        <w:t xml:space="preserve"> </w:t>
      </w:r>
      <w:proofErr w:type="spellStart"/>
      <w:r w:rsidR="0062688C" w:rsidRPr="00F15F35">
        <w:rPr>
          <w:rFonts w:cs="Times New Roman"/>
          <w:lang w:val="en-US"/>
        </w:rPr>
        <w:t>sektor</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hlobalnoi</w:t>
      </w:r>
      <w:proofErr w:type="spellEnd"/>
      <w:r w:rsidR="0062688C" w:rsidRPr="00F15F35">
        <w:rPr>
          <w:rFonts w:cs="Times New Roman"/>
          <w:lang w:val="en-US"/>
        </w:rPr>
        <w:t xml:space="preserve"> </w:t>
      </w:r>
      <w:proofErr w:type="spellStart"/>
      <w:r w:rsidR="0062688C" w:rsidRPr="00F15F35">
        <w:rPr>
          <w:rFonts w:cs="Times New Roman"/>
          <w:lang w:val="en-US"/>
        </w:rPr>
        <w:t>pandemichnoi</w:t>
      </w:r>
      <w:proofErr w:type="spellEnd"/>
      <w:r w:rsidR="0062688C" w:rsidRPr="00F15F35">
        <w:rPr>
          <w:rFonts w:cs="Times New Roman"/>
          <w:lang w:val="en-US"/>
        </w:rPr>
        <w:t xml:space="preserve"> </w:t>
      </w:r>
      <w:proofErr w:type="spellStart"/>
      <w:r w:rsidR="0062688C" w:rsidRPr="00F15F35">
        <w:rPr>
          <w:rFonts w:cs="Times New Roman"/>
          <w:lang w:val="en-US"/>
        </w:rPr>
        <w:t>kryzy</w:t>
      </w:r>
      <w:proofErr w:type="spellEnd"/>
      <w:r w:rsidR="0062688C" w:rsidRPr="00F15F35">
        <w:rPr>
          <w:rFonts w:cs="Times New Roman"/>
          <w:lang w:val="en-US"/>
        </w:rPr>
        <w:t xml:space="preserve"> [Economic development and the banking sector in a global pandemic crisis]. </w:t>
      </w:r>
      <w:r w:rsidR="0062688C" w:rsidRPr="00F15F35">
        <w:rPr>
          <w:rFonts w:cs="Times New Roman"/>
          <w:i/>
          <w:lang w:val="en-US"/>
        </w:rPr>
        <w:t>Finance of Ukraine</w:t>
      </w:r>
      <w:r w:rsidR="0062688C" w:rsidRPr="00F15F35">
        <w:rPr>
          <w:rFonts w:cs="Times New Roman"/>
          <w:lang w:val="en-US"/>
        </w:rPr>
        <w:t>, no. 6, pp. 25</w:t>
      </w:r>
      <w:r>
        <w:t>–</w:t>
      </w:r>
      <w:r w:rsidR="0062688C" w:rsidRPr="00F15F35">
        <w:rPr>
          <w:rFonts w:cs="Times New Roman"/>
          <w:lang w:val="en-US"/>
        </w:rPr>
        <w:t>55.</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Pasichnyk</w:t>
      </w:r>
      <w:proofErr w:type="spellEnd"/>
      <w:r>
        <w:rPr>
          <w:rFonts w:cs="Times New Roman"/>
          <w:lang w:val="en-US"/>
        </w:rPr>
        <w:t xml:space="preserve"> I.V., </w:t>
      </w:r>
      <w:proofErr w:type="spellStart"/>
      <w:r>
        <w:rPr>
          <w:rFonts w:cs="Times New Roman"/>
          <w:lang w:val="en-US"/>
        </w:rPr>
        <w:t>Nazarenko</w:t>
      </w:r>
      <w:proofErr w:type="spellEnd"/>
      <w:r>
        <w:rPr>
          <w:rFonts w:cs="Times New Roman"/>
          <w:lang w:val="en-US"/>
        </w:rPr>
        <w:t xml:space="preserve"> R.</w:t>
      </w:r>
      <w:r w:rsidR="0062688C" w:rsidRPr="00F15F35">
        <w:rPr>
          <w:rFonts w:cs="Times New Roman"/>
          <w:lang w:val="en-US"/>
        </w:rPr>
        <w:t xml:space="preserve">D. (2020) </w:t>
      </w:r>
      <w:proofErr w:type="spellStart"/>
      <w:r w:rsidR="0062688C" w:rsidRPr="00F15F35">
        <w:rPr>
          <w:rFonts w:cs="Times New Roman"/>
          <w:lang w:val="en-US"/>
        </w:rPr>
        <w:t>Diialnist</w:t>
      </w:r>
      <w:proofErr w:type="spellEnd"/>
      <w:r w:rsidR="0062688C" w:rsidRPr="00F15F35">
        <w:rPr>
          <w:rFonts w:cs="Times New Roman"/>
          <w:lang w:val="en-US"/>
        </w:rPr>
        <w:t xml:space="preserve"> </w:t>
      </w:r>
      <w:proofErr w:type="spellStart"/>
      <w:r w:rsidR="0062688C" w:rsidRPr="00F15F35">
        <w:rPr>
          <w:rFonts w:cs="Times New Roman"/>
          <w:lang w:val="en-US"/>
        </w:rPr>
        <w:t>tsentralnoho</w:t>
      </w:r>
      <w:proofErr w:type="spellEnd"/>
      <w:r w:rsidR="0062688C" w:rsidRPr="00F15F35">
        <w:rPr>
          <w:rFonts w:cs="Times New Roman"/>
          <w:lang w:val="en-US"/>
        </w:rPr>
        <w:t xml:space="preserve"> </w:t>
      </w:r>
      <w:proofErr w:type="spellStart"/>
      <w:r w:rsidR="0062688C" w:rsidRPr="00F15F35">
        <w:rPr>
          <w:rFonts w:cs="Times New Roman"/>
          <w:lang w:val="en-US"/>
        </w:rPr>
        <w:t>banku</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pandemii</w:t>
      </w:r>
      <w:proofErr w:type="spellEnd"/>
      <w:r w:rsidR="0062688C" w:rsidRPr="00F15F35">
        <w:rPr>
          <w:rFonts w:cs="Times New Roman"/>
          <w:lang w:val="en-US"/>
        </w:rPr>
        <w:t xml:space="preserve"> [The activities of the central bank in a pandemic]. </w:t>
      </w:r>
      <w:r>
        <w:rPr>
          <w:rFonts w:cs="Times New Roman"/>
          <w:i/>
          <w:lang w:val="en-US"/>
        </w:rPr>
        <w:t>Business-i</w:t>
      </w:r>
      <w:r w:rsidR="0062688C" w:rsidRPr="00F15F35">
        <w:rPr>
          <w:rFonts w:cs="Times New Roman"/>
          <w:i/>
          <w:lang w:val="en-US"/>
        </w:rPr>
        <w:t>nform</w:t>
      </w:r>
      <w:r w:rsidR="0062688C" w:rsidRPr="00F15F35">
        <w:rPr>
          <w:rFonts w:cs="Times New Roman"/>
          <w:lang w:val="en-US"/>
        </w:rPr>
        <w:t>, no. 6. pp. 24</w:t>
      </w:r>
      <w:r>
        <w:rPr>
          <w:rFonts w:cs="Times New Roman"/>
          <w:lang w:val="en-US"/>
        </w:rPr>
        <w:t>5</w:t>
      </w:r>
      <w:r>
        <w:t>–</w:t>
      </w:r>
      <w:r w:rsidR="0062688C" w:rsidRPr="00F15F35">
        <w:rPr>
          <w:rFonts w:cs="Times New Roman"/>
          <w:lang w:val="en-US"/>
        </w:rPr>
        <w:t>251.</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Marynchak</w:t>
      </w:r>
      <w:proofErr w:type="spellEnd"/>
      <w:r>
        <w:rPr>
          <w:rFonts w:cs="Times New Roman"/>
          <w:lang w:val="en-US"/>
        </w:rPr>
        <w:t xml:space="preserve"> L.R., </w:t>
      </w:r>
      <w:proofErr w:type="spellStart"/>
      <w:r>
        <w:rPr>
          <w:rFonts w:cs="Times New Roman"/>
          <w:lang w:val="en-US"/>
        </w:rPr>
        <w:t>Masyk</w:t>
      </w:r>
      <w:proofErr w:type="spellEnd"/>
      <w:r>
        <w:rPr>
          <w:rFonts w:cs="Times New Roman"/>
          <w:lang w:val="en-US"/>
        </w:rPr>
        <w:t xml:space="preserve"> I.</w:t>
      </w:r>
      <w:r w:rsidR="0062688C" w:rsidRPr="00F15F35">
        <w:rPr>
          <w:rFonts w:cs="Times New Roman"/>
          <w:lang w:val="en-US"/>
        </w:rPr>
        <w:t xml:space="preserve">S. (2020) </w:t>
      </w:r>
      <w:proofErr w:type="spellStart"/>
      <w:r w:rsidR="0062688C" w:rsidRPr="00F15F35">
        <w:rPr>
          <w:rFonts w:cs="Times New Roman"/>
          <w:lang w:val="en-US"/>
        </w:rPr>
        <w:t>Osoblyvosti</w:t>
      </w:r>
      <w:proofErr w:type="spellEnd"/>
      <w:r w:rsidR="0062688C" w:rsidRPr="00F15F35">
        <w:rPr>
          <w:rFonts w:cs="Times New Roman"/>
          <w:lang w:val="en-US"/>
        </w:rPr>
        <w:t xml:space="preserve"> </w:t>
      </w:r>
      <w:proofErr w:type="spellStart"/>
      <w:r w:rsidR="0062688C" w:rsidRPr="00F15F35">
        <w:rPr>
          <w:rFonts w:cs="Times New Roman"/>
          <w:lang w:val="en-US"/>
        </w:rPr>
        <w:t>funktsionuvannia</w:t>
      </w:r>
      <w:proofErr w:type="spellEnd"/>
      <w:r w:rsidR="0062688C" w:rsidRPr="00F15F35">
        <w:rPr>
          <w:rFonts w:cs="Times New Roman"/>
          <w:lang w:val="en-US"/>
        </w:rPr>
        <w:t xml:space="preserve"> </w:t>
      </w:r>
      <w:proofErr w:type="spellStart"/>
      <w:r w:rsidR="0062688C" w:rsidRPr="00F15F35">
        <w:rPr>
          <w:rFonts w:cs="Times New Roman"/>
          <w:lang w:val="en-US"/>
        </w:rPr>
        <w:t>bankivskykh</w:t>
      </w:r>
      <w:proofErr w:type="spellEnd"/>
      <w:r w:rsidR="0062688C" w:rsidRPr="00F15F35">
        <w:rPr>
          <w:rFonts w:cs="Times New Roman"/>
          <w:lang w:val="en-US"/>
        </w:rPr>
        <w:t xml:space="preserve"> </w:t>
      </w:r>
      <w:proofErr w:type="spellStart"/>
      <w:r w:rsidR="0062688C" w:rsidRPr="00F15F35">
        <w:rPr>
          <w:rFonts w:cs="Times New Roman"/>
          <w:lang w:val="en-US"/>
        </w:rPr>
        <w:t>ustanov</w:t>
      </w:r>
      <w:proofErr w:type="spellEnd"/>
      <w:r w:rsidR="0062688C" w:rsidRPr="00F15F35">
        <w:rPr>
          <w:rFonts w:cs="Times New Roman"/>
          <w:lang w:val="en-US"/>
        </w:rPr>
        <w:t xml:space="preserve"> v </w:t>
      </w:r>
      <w:proofErr w:type="spellStart"/>
      <w:r w:rsidR="0062688C" w:rsidRPr="00F15F35">
        <w:rPr>
          <w:rFonts w:cs="Times New Roman"/>
          <w:lang w:val="en-US"/>
        </w:rPr>
        <w:t>Ukraini</w:t>
      </w:r>
      <w:proofErr w:type="spellEnd"/>
      <w:r w:rsidR="0062688C" w:rsidRPr="00F15F35">
        <w:rPr>
          <w:rFonts w:cs="Times New Roman"/>
          <w:lang w:val="en-US"/>
        </w:rPr>
        <w:t xml:space="preserve"> v period </w:t>
      </w:r>
      <w:proofErr w:type="spellStart"/>
      <w:r w:rsidR="0062688C" w:rsidRPr="00F15F35">
        <w:rPr>
          <w:rFonts w:cs="Times New Roman"/>
          <w:lang w:val="en-US"/>
        </w:rPr>
        <w:t>pandemii</w:t>
      </w:r>
      <w:proofErr w:type="spellEnd"/>
      <w:r w:rsidR="0062688C" w:rsidRPr="00F15F35">
        <w:rPr>
          <w:rFonts w:cs="Times New Roman"/>
          <w:lang w:val="en-US"/>
        </w:rPr>
        <w:t xml:space="preserve"> [Features of the functioning of banking institutions in Ukraine during the pandemic]. </w:t>
      </w:r>
      <w:r w:rsidR="0062688C" w:rsidRPr="00F15F35">
        <w:rPr>
          <w:rFonts w:cs="Times New Roman"/>
          <w:i/>
          <w:lang w:val="en-US"/>
        </w:rPr>
        <w:t>Scientific Bulletin of Ivano-Frankivsk National Technical U</w:t>
      </w:r>
      <w:r>
        <w:rPr>
          <w:rFonts w:cs="Times New Roman"/>
          <w:i/>
          <w:lang w:val="en-US"/>
        </w:rPr>
        <w:t>niversity of Oil and Gas. Series</w:t>
      </w:r>
      <w:r w:rsidR="0062688C" w:rsidRPr="00F15F35">
        <w:rPr>
          <w:rFonts w:cs="Times New Roman"/>
          <w:i/>
          <w:lang w:val="en-US"/>
        </w:rPr>
        <w:t>: Economics and Management in the Oil and Gas Industry</w:t>
      </w:r>
      <w:r>
        <w:rPr>
          <w:rFonts w:cs="Times New Roman"/>
          <w:lang w:val="en-US"/>
        </w:rPr>
        <w:t>, no. 1, pp. 174</w:t>
      </w:r>
      <w:r>
        <w:t>–</w:t>
      </w:r>
      <w:r w:rsidR="0062688C" w:rsidRPr="00F15F35">
        <w:rPr>
          <w:rFonts w:cs="Times New Roman"/>
          <w:lang w:val="en-US"/>
        </w:rPr>
        <w:t>183.</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lastRenderedPageBreak/>
        <w:t>Zaverbnyi</w:t>
      </w:r>
      <w:proofErr w:type="spellEnd"/>
      <w:r>
        <w:rPr>
          <w:rFonts w:cs="Times New Roman"/>
          <w:lang w:val="en-US"/>
        </w:rPr>
        <w:t xml:space="preserve"> A.</w:t>
      </w:r>
      <w:r w:rsidR="0062688C" w:rsidRPr="00F15F35">
        <w:rPr>
          <w:rFonts w:cs="Times New Roman"/>
          <w:lang w:val="en-US"/>
        </w:rPr>
        <w:t xml:space="preserve">S., </w:t>
      </w:r>
      <w:proofErr w:type="spellStart"/>
      <w:r w:rsidR="0062688C" w:rsidRPr="00F15F35">
        <w:rPr>
          <w:rFonts w:cs="Times New Roman"/>
          <w:lang w:val="en-US"/>
        </w:rPr>
        <w:t>Sokulskyi</w:t>
      </w:r>
      <w:proofErr w:type="spellEnd"/>
      <w:r w:rsidR="0062688C" w:rsidRPr="00F15F35">
        <w:rPr>
          <w:rFonts w:cs="Times New Roman"/>
          <w:lang w:val="en-US"/>
        </w:rPr>
        <w:t xml:space="preserve"> N.R. (2021) </w:t>
      </w:r>
      <w:proofErr w:type="spellStart"/>
      <w:r w:rsidR="0062688C" w:rsidRPr="00F15F35">
        <w:rPr>
          <w:rFonts w:cs="Times New Roman"/>
          <w:lang w:val="en-US"/>
        </w:rPr>
        <w:t>Pandemiia</w:t>
      </w:r>
      <w:proofErr w:type="spellEnd"/>
      <w:r w:rsidR="0062688C" w:rsidRPr="00F15F35">
        <w:rPr>
          <w:rFonts w:cs="Times New Roman"/>
          <w:lang w:val="en-US"/>
        </w:rPr>
        <w:t xml:space="preserve"> yak </w:t>
      </w:r>
      <w:proofErr w:type="spellStart"/>
      <w:r w:rsidR="0062688C" w:rsidRPr="00F15F35">
        <w:rPr>
          <w:rFonts w:cs="Times New Roman"/>
          <w:lang w:val="en-US"/>
        </w:rPr>
        <w:t>katalizator</w:t>
      </w:r>
      <w:proofErr w:type="spellEnd"/>
      <w:r w:rsidR="0062688C" w:rsidRPr="00F15F35">
        <w:rPr>
          <w:rFonts w:cs="Times New Roman"/>
          <w:lang w:val="en-US"/>
        </w:rPr>
        <w:t xml:space="preserve"> </w:t>
      </w:r>
      <w:proofErr w:type="spellStart"/>
      <w:r w:rsidR="0062688C" w:rsidRPr="00F15F35">
        <w:rPr>
          <w:rFonts w:cs="Times New Roman"/>
          <w:lang w:val="en-US"/>
        </w:rPr>
        <w:t>tsyfrovizatsii</w:t>
      </w:r>
      <w:proofErr w:type="spellEnd"/>
      <w:r w:rsidR="0062688C" w:rsidRPr="00F15F35">
        <w:rPr>
          <w:rFonts w:cs="Times New Roman"/>
          <w:lang w:val="en-US"/>
        </w:rPr>
        <w:t xml:space="preserve"> </w:t>
      </w:r>
      <w:proofErr w:type="spellStart"/>
      <w:r w:rsidR="0062688C" w:rsidRPr="00F15F35">
        <w:rPr>
          <w:rFonts w:cs="Times New Roman"/>
          <w:lang w:val="en-US"/>
        </w:rPr>
        <w:t>bankivskoi</w:t>
      </w:r>
      <w:proofErr w:type="spellEnd"/>
      <w:r w:rsidR="0062688C" w:rsidRPr="00F15F35">
        <w:rPr>
          <w:rFonts w:cs="Times New Roman"/>
          <w:lang w:val="en-US"/>
        </w:rPr>
        <w:t xml:space="preserve"> </w:t>
      </w:r>
      <w:proofErr w:type="spellStart"/>
      <w:r w:rsidR="0062688C" w:rsidRPr="00F15F35">
        <w:rPr>
          <w:rFonts w:cs="Times New Roman"/>
          <w:lang w:val="en-US"/>
        </w:rPr>
        <w:t>systemy</w:t>
      </w:r>
      <w:proofErr w:type="spellEnd"/>
      <w:r w:rsidR="0062688C" w:rsidRPr="00F15F35">
        <w:rPr>
          <w:rFonts w:cs="Times New Roman"/>
          <w:lang w:val="en-US"/>
        </w:rPr>
        <w:t xml:space="preserve"> v </w:t>
      </w:r>
      <w:proofErr w:type="spellStart"/>
      <w:r w:rsidR="0062688C" w:rsidRPr="00F15F35">
        <w:rPr>
          <w:rFonts w:cs="Times New Roman"/>
          <w:lang w:val="en-US"/>
        </w:rPr>
        <w:t>Ukraini</w:t>
      </w:r>
      <w:proofErr w:type="spellEnd"/>
      <w:r w:rsidR="0062688C" w:rsidRPr="00F15F35">
        <w:rPr>
          <w:rFonts w:cs="Times New Roman"/>
          <w:lang w:val="en-US"/>
        </w:rPr>
        <w:t xml:space="preserve"> [Pandemic as a catalyst for digitalization of the banking system in Ukraine]. </w:t>
      </w:r>
      <w:r w:rsidR="0062688C" w:rsidRPr="00F15F35">
        <w:rPr>
          <w:rFonts w:cs="Times New Roman"/>
          <w:i/>
          <w:lang w:val="en-US"/>
        </w:rPr>
        <w:t>Investments: practice and experience</w:t>
      </w:r>
      <w:r w:rsidR="0062688C" w:rsidRPr="00F15F35">
        <w:rPr>
          <w:rFonts w:cs="Times New Roman"/>
          <w:lang w:val="en-US"/>
        </w:rPr>
        <w:t>, no. 2, pp. 5</w:t>
      </w:r>
      <w:r>
        <w:t>–</w:t>
      </w:r>
      <w:r w:rsidR="0062688C" w:rsidRPr="00F15F35">
        <w:rPr>
          <w:rFonts w:cs="Times New Roman"/>
          <w:lang w:val="en-US"/>
        </w:rPr>
        <w:t>9.</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Shchurevych</w:t>
      </w:r>
      <w:proofErr w:type="spellEnd"/>
      <w:r>
        <w:rPr>
          <w:rFonts w:cs="Times New Roman"/>
          <w:lang w:val="en-US"/>
        </w:rPr>
        <w:t xml:space="preserve"> O.I., </w:t>
      </w:r>
      <w:proofErr w:type="spellStart"/>
      <w:r>
        <w:rPr>
          <w:rFonts w:cs="Times New Roman"/>
          <w:lang w:val="en-US"/>
        </w:rPr>
        <w:t>Kalyniv</w:t>
      </w:r>
      <w:proofErr w:type="spellEnd"/>
      <w:r>
        <w:rPr>
          <w:rFonts w:cs="Times New Roman"/>
          <w:lang w:val="en-US"/>
        </w:rPr>
        <w:t xml:space="preserve"> </w:t>
      </w:r>
      <w:proofErr w:type="spellStart"/>
      <w:r>
        <w:rPr>
          <w:rFonts w:cs="Times New Roman"/>
          <w:lang w:val="en-US"/>
        </w:rPr>
        <w:t>O.</w:t>
      </w:r>
      <w:r w:rsidR="0062688C" w:rsidRPr="00F15F35">
        <w:rPr>
          <w:rFonts w:cs="Times New Roman"/>
          <w:lang w:val="en-US"/>
        </w:rPr>
        <w:t>Yu</w:t>
      </w:r>
      <w:proofErr w:type="spellEnd"/>
      <w:r w:rsidR="0062688C" w:rsidRPr="00F15F35">
        <w:rPr>
          <w:rFonts w:cs="Times New Roman"/>
          <w:lang w:val="en-US"/>
        </w:rPr>
        <w:t xml:space="preserve">. (2021) </w:t>
      </w:r>
      <w:proofErr w:type="spellStart"/>
      <w:r w:rsidR="0062688C" w:rsidRPr="00F15F35">
        <w:rPr>
          <w:rFonts w:cs="Times New Roman"/>
          <w:lang w:val="en-US"/>
        </w:rPr>
        <w:t>Monetarni</w:t>
      </w:r>
      <w:proofErr w:type="spellEnd"/>
      <w:r w:rsidR="0062688C" w:rsidRPr="00F15F35">
        <w:rPr>
          <w:rFonts w:cs="Times New Roman"/>
          <w:lang w:val="en-US"/>
        </w:rPr>
        <w:t xml:space="preserve"> </w:t>
      </w:r>
      <w:proofErr w:type="spellStart"/>
      <w:r w:rsidR="0062688C" w:rsidRPr="00F15F35">
        <w:rPr>
          <w:rFonts w:cs="Times New Roman"/>
          <w:lang w:val="en-US"/>
        </w:rPr>
        <w:t>zakhody</w:t>
      </w:r>
      <w:proofErr w:type="spellEnd"/>
      <w:r w:rsidR="0062688C" w:rsidRPr="00F15F35">
        <w:rPr>
          <w:rFonts w:cs="Times New Roman"/>
          <w:lang w:val="en-US"/>
        </w:rPr>
        <w:t xml:space="preserve"> </w:t>
      </w:r>
      <w:proofErr w:type="spellStart"/>
      <w:r w:rsidR="0062688C" w:rsidRPr="00F15F35">
        <w:rPr>
          <w:rFonts w:cs="Times New Roman"/>
          <w:lang w:val="en-US"/>
        </w:rPr>
        <w:t>tsentralnykh</w:t>
      </w:r>
      <w:proofErr w:type="spellEnd"/>
      <w:r w:rsidR="0062688C" w:rsidRPr="00F15F35">
        <w:rPr>
          <w:rFonts w:cs="Times New Roman"/>
          <w:lang w:val="en-US"/>
        </w:rPr>
        <w:t xml:space="preserve"> </w:t>
      </w:r>
      <w:proofErr w:type="spellStart"/>
      <w:r w:rsidR="0062688C" w:rsidRPr="00F15F35">
        <w:rPr>
          <w:rFonts w:cs="Times New Roman"/>
          <w:lang w:val="en-US"/>
        </w:rPr>
        <w:t>bankiv</w:t>
      </w:r>
      <w:proofErr w:type="spellEnd"/>
      <w:r w:rsidR="0062688C" w:rsidRPr="00F15F35">
        <w:rPr>
          <w:rFonts w:cs="Times New Roman"/>
          <w:lang w:val="en-US"/>
        </w:rPr>
        <w:t xml:space="preserve"> </w:t>
      </w:r>
      <w:proofErr w:type="spellStart"/>
      <w:r w:rsidR="0062688C" w:rsidRPr="00F15F35">
        <w:rPr>
          <w:rFonts w:cs="Times New Roman"/>
          <w:lang w:val="en-US"/>
        </w:rPr>
        <w:t>dlia</w:t>
      </w:r>
      <w:proofErr w:type="spellEnd"/>
      <w:r w:rsidR="0062688C" w:rsidRPr="00F15F35">
        <w:rPr>
          <w:rFonts w:cs="Times New Roman"/>
          <w:lang w:val="en-US"/>
        </w:rPr>
        <w:t xml:space="preserve"> </w:t>
      </w:r>
      <w:proofErr w:type="spellStart"/>
      <w:r w:rsidR="0062688C" w:rsidRPr="00F15F35">
        <w:rPr>
          <w:rFonts w:cs="Times New Roman"/>
          <w:lang w:val="en-US"/>
        </w:rPr>
        <w:t>pidtrymky</w:t>
      </w:r>
      <w:proofErr w:type="spellEnd"/>
      <w:r w:rsidR="0062688C" w:rsidRPr="00F15F35">
        <w:rPr>
          <w:rFonts w:cs="Times New Roman"/>
          <w:lang w:val="en-US"/>
        </w:rPr>
        <w:t xml:space="preserve"> </w:t>
      </w:r>
      <w:proofErr w:type="spellStart"/>
      <w:r w:rsidR="0062688C" w:rsidRPr="00F15F35">
        <w:rPr>
          <w:rFonts w:cs="Times New Roman"/>
          <w:lang w:val="en-US"/>
        </w:rPr>
        <w:t>ekonomiky</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pandemii</w:t>
      </w:r>
      <w:proofErr w:type="spellEnd"/>
      <w:r w:rsidR="0062688C" w:rsidRPr="00F15F35">
        <w:rPr>
          <w:rFonts w:cs="Times New Roman"/>
          <w:lang w:val="en-US"/>
        </w:rPr>
        <w:t xml:space="preserve"> [Monetary measures of central banks to support the economy in a pandemic]. </w:t>
      </w:r>
      <w:r w:rsidR="0062688C" w:rsidRPr="00F15F35">
        <w:rPr>
          <w:rFonts w:cs="Times New Roman"/>
          <w:i/>
          <w:lang w:val="en-US"/>
        </w:rPr>
        <w:t>Scientific no</w:t>
      </w:r>
      <w:r>
        <w:rPr>
          <w:rFonts w:cs="Times New Roman"/>
          <w:i/>
          <w:lang w:val="en-US"/>
        </w:rPr>
        <w:t>tes of the National University “</w:t>
      </w:r>
      <w:proofErr w:type="spellStart"/>
      <w:r>
        <w:rPr>
          <w:rFonts w:cs="Times New Roman"/>
          <w:i/>
          <w:lang w:val="en-US"/>
        </w:rPr>
        <w:t>Ostroh</w:t>
      </w:r>
      <w:proofErr w:type="spellEnd"/>
      <w:r>
        <w:rPr>
          <w:rFonts w:cs="Times New Roman"/>
          <w:i/>
          <w:lang w:val="en-US"/>
        </w:rPr>
        <w:t xml:space="preserve"> Academy”</w:t>
      </w:r>
      <w:r w:rsidR="0062688C" w:rsidRPr="00F15F35">
        <w:rPr>
          <w:rFonts w:cs="Times New Roman"/>
          <w:i/>
          <w:lang w:val="en-US"/>
        </w:rPr>
        <w:t>. Series: Economics</w:t>
      </w:r>
      <w:r>
        <w:rPr>
          <w:rFonts w:cs="Times New Roman"/>
          <w:lang w:val="en-US"/>
        </w:rPr>
        <w:t>, no. 20, pp. 125</w:t>
      </w:r>
      <w:r>
        <w:t>–</w:t>
      </w:r>
      <w:r w:rsidR="0062688C" w:rsidRPr="00F15F35">
        <w:rPr>
          <w:rFonts w:cs="Times New Roman"/>
          <w:lang w:val="en-US"/>
        </w:rPr>
        <w:t>132.</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Bodnar</w:t>
      </w:r>
      <w:proofErr w:type="spellEnd"/>
      <w:r>
        <w:rPr>
          <w:rFonts w:cs="Times New Roman"/>
          <w:lang w:val="en-US"/>
        </w:rPr>
        <w:t xml:space="preserve"> O.A., </w:t>
      </w:r>
      <w:proofErr w:type="spellStart"/>
      <w:r>
        <w:rPr>
          <w:rFonts w:cs="Times New Roman"/>
          <w:lang w:val="en-US"/>
        </w:rPr>
        <w:t>Palamarchuk</w:t>
      </w:r>
      <w:proofErr w:type="spellEnd"/>
      <w:r>
        <w:rPr>
          <w:rFonts w:cs="Times New Roman"/>
          <w:lang w:val="en-US"/>
        </w:rPr>
        <w:t xml:space="preserve"> V.S., </w:t>
      </w:r>
      <w:proofErr w:type="spellStart"/>
      <w:r>
        <w:rPr>
          <w:rFonts w:cs="Times New Roman"/>
          <w:lang w:val="en-US"/>
        </w:rPr>
        <w:t>Havrylov</w:t>
      </w:r>
      <w:proofErr w:type="spellEnd"/>
      <w:r>
        <w:rPr>
          <w:rFonts w:cs="Times New Roman"/>
          <w:lang w:val="en-US"/>
        </w:rPr>
        <w:t xml:space="preserve"> A.</w:t>
      </w:r>
      <w:r w:rsidR="0062688C" w:rsidRPr="00F15F35">
        <w:rPr>
          <w:rFonts w:cs="Times New Roman"/>
          <w:lang w:val="en-US"/>
        </w:rPr>
        <w:t xml:space="preserve">O. (2020) </w:t>
      </w:r>
      <w:proofErr w:type="spellStart"/>
      <w:r w:rsidR="0062688C" w:rsidRPr="00F15F35">
        <w:rPr>
          <w:rFonts w:cs="Times New Roman"/>
          <w:lang w:val="en-US"/>
        </w:rPr>
        <w:t>Analiz</w:t>
      </w:r>
      <w:proofErr w:type="spellEnd"/>
      <w:r w:rsidR="0062688C" w:rsidRPr="00F15F35">
        <w:rPr>
          <w:rFonts w:cs="Times New Roman"/>
          <w:lang w:val="en-US"/>
        </w:rPr>
        <w:t xml:space="preserve"> </w:t>
      </w:r>
      <w:proofErr w:type="spellStart"/>
      <w:r w:rsidR="0062688C" w:rsidRPr="00F15F35">
        <w:rPr>
          <w:rFonts w:cs="Times New Roman"/>
          <w:lang w:val="en-US"/>
        </w:rPr>
        <w:t>stanu</w:t>
      </w:r>
      <w:proofErr w:type="spellEnd"/>
      <w:r w:rsidR="0062688C" w:rsidRPr="00F15F35">
        <w:rPr>
          <w:rFonts w:cs="Times New Roman"/>
          <w:lang w:val="en-US"/>
        </w:rPr>
        <w:t xml:space="preserve"> </w:t>
      </w:r>
      <w:proofErr w:type="spellStart"/>
      <w:r w:rsidR="0062688C" w:rsidRPr="00F15F35">
        <w:rPr>
          <w:rFonts w:cs="Times New Roman"/>
          <w:lang w:val="en-US"/>
        </w:rPr>
        <w:t>rynku</w:t>
      </w:r>
      <w:proofErr w:type="spellEnd"/>
      <w:r w:rsidR="0062688C" w:rsidRPr="00F15F35">
        <w:rPr>
          <w:rFonts w:cs="Times New Roman"/>
          <w:lang w:val="en-US"/>
        </w:rPr>
        <w:t xml:space="preserve"> </w:t>
      </w:r>
      <w:proofErr w:type="spellStart"/>
      <w:r w:rsidR="0062688C" w:rsidRPr="00F15F35">
        <w:rPr>
          <w:rFonts w:cs="Times New Roman"/>
          <w:lang w:val="en-US"/>
        </w:rPr>
        <w:t>bankivskykh</w:t>
      </w:r>
      <w:proofErr w:type="spellEnd"/>
      <w:r w:rsidR="0062688C" w:rsidRPr="00F15F35">
        <w:rPr>
          <w:rFonts w:cs="Times New Roman"/>
          <w:lang w:val="en-US"/>
        </w:rPr>
        <w:t xml:space="preserve"> </w:t>
      </w:r>
      <w:proofErr w:type="spellStart"/>
      <w:r w:rsidR="0062688C" w:rsidRPr="00F15F35">
        <w:rPr>
          <w:rFonts w:cs="Times New Roman"/>
          <w:lang w:val="en-US"/>
        </w:rPr>
        <w:t>posluh</w:t>
      </w:r>
      <w:proofErr w:type="spellEnd"/>
      <w:r w:rsidR="0062688C" w:rsidRPr="00F15F35">
        <w:rPr>
          <w:rFonts w:cs="Times New Roman"/>
          <w:lang w:val="en-US"/>
        </w:rPr>
        <w:t xml:space="preserve"> </w:t>
      </w:r>
      <w:proofErr w:type="spellStart"/>
      <w:r w:rsidR="0062688C" w:rsidRPr="00F15F35">
        <w:rPr>
          <w:rFonts w:cs="Times New Roman"/>
          <w:lang w:val="en-US"/>
        </w:rPr>
        <w:t>Ukrainy</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pandemii</w:t>
      </w:r>
      <w:proofErr w:type="spellEnd"/>
      <w:r w:rsidR="0062688C" w:rsidRPr="00F15F35">
        <w:rPr>
          <w:rFonts w:cs="Times New Roman"/>
          <w:lang w:val="en-US"/>
        </w:rPr>
        <w:t xml:space="preserve"> [Analysis of the market of banking services in Ukraine in a pandemic]. </w:t>
      </w:r>
      <w:r w:rsidR="0062688C" w:rsidRPr="00F15F35">
        <w:rPr>
          <w:rFonts w:cs="Times New Roman"/>
          <w:i/>
          <w:lang w:val="en-US"/>
        </w:rPr>
        <w:t>Modern economics</w:t>
      </w:r>
      <w:r>
        <w:rPr>
          <w:rFonts w:cs="Times New Roman"/>
          <w:lang w:val="en-US"/>
        </w:rPr>
        <w:t>, no. 23, pp. 13</w:t>
      </w:r>
      <w:r>
        <w:t>–</w:t>
      </w:r>
      <w:r w:rsidR="0062688C" w:rsidRPr="00F15F35">
        <w:rPr>
          <w:rFonts w:cs="Times New Roman"/>
          <w:lang w:val="en-US"/>
        </w:rPr>
        <w:t>19.</w:t>
      </w:r>
    </w:p>
    <w:p w:rsidR="0062688C" w:rsidRPr="00F15F35" w:rsidRDefault="00F15F35" w:rsidP="00F15F35">
      <w:pPr>
        <w:pStyle w:val="a4"/>
        <w:numPr>
          <w:ilvl w:val="0"/>
          <w:numId w:val="4"/>
        </w:numPr>
        <w:tabs>
          <w:tab w:val="left" w:pos="709"/>
        </w:tabs>
        <w:ind w:left="0" w:firstLine="284"/>
        <w:rPr>
          <w:rFonts w:cs="Times New Roman"/>
          <w:lang w:val="en-US"/>
        </w:rPr>
      </w:pPr>
      <w:r>
        <w:rPr>
          <w:rFonts w:cs="Times New Roman"/>
          <w:lang w:val="en-US"/>
        </w:rPr>
        <w:t>Acharya V.V., Engle III R.</w:t>
      </w:r>
      <w:r w:rsidR="0062688C" w:rsidRPr="00F15F35">
        <w:rPr>
          <w:rFonts w:cs="Times New Roman"/>
          <w:lang w:val="en-US"/>
        </w:rPr>
        <w:t xml:space="preserve">F., Steffen S. (2021) </w:t>
      </w:r>
      <w:proofErr w:type="gramStart"/>
      <w:r w:rsidR="0062688C" w:rsidRPr="00F15F35">
        <w:rPr>
          <w:rFonts w:cs="Times New Roman"/>
          <w:lang w:val="en-US"/>
        </w:rPr>
        <w:t>Why</w:t>
      </w:r>
      <w:proofErr w:type="gramEnd"/>
      <w:r w:rsidR="0062688C" w:rsidRPr="00F15F35">
        <w:rPr>
          <w:rFonts w:cs="Times New Roman"/>
          <w:lang w:val="en-US"/>
        </w:rPr>
        <w:t xml:space="preserve"> did bank stocks crash during COVID-19? </w:t>
      </w:r>
      <w:r w:rsidR="0062688C" w:rsidRPr="00F15F35">
        <w:rPr>
          <w:rFonts w:cs="Times New Roman"/>
          <w:i/>
          <w:lang w:val="en-US"/>
        </w:rPr>
        <w:t>NBER working paper series. Working Paper</w:t>
      </w:r>
      <w:r w:rsidR="0062688C" w:rsidRPr="00F15F35">
        <w:rPr>
          <w:rFonts w:cs="Times New Roman"/>
          <w:lang w:val="en-US"/>
        </w:rPr>
        <w:t>, no. 28559. Available at: http://www.n</w:t>
      </w:r>
      <w:r>
        <w:rPr>
          <w:rFonts w:cs="Times New Roman"/>
          <w:lang w:val="en-US"/>
        </w:rPr>
        <w:t>ber.org/papers/w28559 (accessed</w:t>
      </w:r>
      <w:r w:rsidR="0062688C" w:rsidRPr="00F15F35">
        <w:rPr>
          <w:rFonts w:cs="Times New Roman"/>
          <w:lang w:val="en-US"/>
        </w:rPr>
        <w:t xml:space="preserve"> 02 September 2021).</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Shemaieva</w:t>
      </w:r>
      <w:proofErr w:type="spellEnd"/>
      <w:r>
        <w:rPr>
          <w:rFonts w:cs="Times New Roman"/>
          <w:lang w:val="en-US"/>
        </w:rPr>
        <w:t xml:space="preserve"> L.</w:t>
      </w:r>
      <w:r w:rsidR="0062688C" w:rsidRPr="00F15F35">
        <w:rPr>
          <w:rFonts w:cs="Times New Roman"/>
          <w:lang w:val="en-US"/>
        </w:rPr>
        <w:t xml:space="preserve">H. (2020) </w:t>
      </w:r>
      <w:proofErr w:type="spellStart"/>
      <w:r w:rsidR="0062688C" w:rsidRPr="00F15F35">
        <w:rPr>
          <w:rFonts w:cs="Times New Roman"/>
          <w:lang w:val="en-US"/>
        </w:rPr>
        <w:t>Problemy</w:t>
      </w:r>
      <w:proofErr w:type="spellEnd"/>
      <w:r w:rsidR="0062688C" w:rsidRPr="00F15F35">
        <w:rPr>
          <w:rFonts w:cs="Times New Roman"/>
          <w:lang w:val="en-US"/>
        </w:rPr>
        <w:t xml:space="preserve"> ta </w:t>
      </w:r>
      <w:proofErr w:type="spellStart"/>
      <w:r w:rsidR="0062688C" w:rsidRPr="00F15F35">
        <w:rPr>
          <w:rFonts w:cs="Times New Roman"/>
          <w:lang w:val="en-US"/>
        </w:rPr>
        <w:t>perspektyvy</w:t>
      </w:r>
      <w:proofErr w:type="spellEnd"/>
      <w:r w:rsidR="0062688C" w:rsidRPr="00F15F35">
        <w:rPr>
          <w:rFonts w:cs="Times New Roman"/>
          <w:lang w:val="en-US"/>
        </w:rPr>
        <w:t xml:space="preserve"> </w:t>
      </w:r>
      <w:proofErr w:type="spellStart"/>
      <w:r w:rsidR="0062688C" w:rsidRPr="00F15F35">
        <w:rPr>
          <w:rFonts w:cs="Times New Roman"/>
          <w:lang w:val="en-US"/>
        </w:rPr>
        <w:t>zmitsnennia</w:t>
      </w:r>
      <w:proofErr w:type="spellEnd"/>
      <w:r w:rsidR="0062688C" w:rsidRPr="00F15F35">
        <w:rPr>
          <w:rFonts w:cs="Times New Roman"/>
          <w:lang w:val="en-US"/>
        </w:rPr>
        <w:t xml:space="preserve"> </w:t>
      </w:r>
      <w:proofErr w:type="spellStart"/>
      <w:r w:rsidR="0062688C" w:rsidRPr="00F15F35">
        <w:rPr>
          <w:rFonts w:cs="Times New Roman"/>
          <w:lang w:val="en-US"/>
        </w:rPr>
        <w:t>stiikosti</w:t>
      </w:r>
      <w:proofErr w:type="spellEnd"/>
      <w:r w:rsidR="0062688C" w:rsidRPr="00F15F35">
        <w:rPr>
          <w:rFonts w:cs="Times New Roman"/>
          <w:lang w:val="en-US"/>
        </w:rPr>
        <w:t xml:space="preserve"> </w:t>
      </w:r>
      <w:proofErr w:type="spellStart"/>
      <w:r w:rsidR="0062688C" w:rsidRPr="00F15F35">
        <w:rPr>
          <w:rFonts w:cs="Times New Roman"/>
          <w:lang w:val="en-US"/>
        </w:rPr>
        <w:t>finansovoi</w:t>
      </w:r>
      <w:proofErr w:type="spellEnd"/>
      <w:r w:rsidR="0062688C" w:rsidRPr="00F15F35">
        <w:rPr>
          <w:rFonts w:cs="Times New Roman"/>
          <w:lang w:val="en-US"/>
        </w:rPr>
        <w:t xml:space="preserve"> </w:t>
      </w:r>
      <w:proofErr w:type="spellStart"/>
      <w:r w:rsidR="0062688C" w:rsidRPr="00F15F35">
        <w:rPr>
          <w:rFonts w:cs="Times New Roman"/>
          <w:lang w:val="en-US"/>
        </w:rPr>
        <w:t>systemy</w:t>
      </w:r>
      <w:proofErr w:type="spellEnd"/>
      <w:r w:rsidR="0062688C" w:rsidRPr="00F15F35">
        <w:rPr>
          <w:rFonts w:cs="Times New Roman"/>
          <w:lang w:val="en-US"/>
        </w:rPr>
        <w:t xml:space="preserve"> </w:t>
      </w:r>
      <w:proofErr w:type="spellStart"/>
      <w:r w:rsidR="0062688C" w:rsidRPr="00F15F35">
        <w:rPr>
          <w:rFonts w:cs="Times New Roman"/>
          <w:lang w:val="en-US"/>
        </w:rPr>
        <w:t>Ukrainy</w:t>
      </w:r>
      <w:proofErr w:type="spellEnd"/>
      <w:r w:rsidR="0062688C" w:rsidRPr="00F15F35">
        <w:rPr>
          <w:rFonts w:cs="Times New Roman"/>
          <w:lang w:val="en-US"/>
        </w:rPr>
        <w:t xml:space="preserve"> [Problems and prospects for strengthening the stability of the financial system of Ukraine]. Available at: https://niss.gov.ua/sites/default/files/2020-05/rozgornuta-versiya-dopov</w:t>
      </w:r>
      <w:r>
        <w:rPr>
          <w:rFonts w:cs="Times New Roman"/>
          <w:lang w:val="en-US"/>
        </w:rPr>
        <w:t>idi-shemaevoi-l.g.pdf (accessed</w:t>
      </w:r>
      <w:r w:rsidR="0062688C" w:rsidRPr="00F15F35">
        <w:rPr>
          <w:rFonts w:cs="Times New Roman"/>
          <w:lang w:val="en-US"/>
        </w:rPr>
        <w:t xml:space="preserve"> 02 September 2021).</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Kryvoviaziuk</w:t>
      </w:r>
      <w:proofErr w:type="spellEnd"/>
      <w:r>
        <w:rPr>
          <w:rFonts w:cs="Times New Roman"/>
          <w:lang w:val="en-US"/>
        </w:rPr>
        <w:t xml:space="preserve"> I.</w:t>
      </w:r>
      <w:r w:rsidR="0062688C" w:rsidRPr="00F15F35">
        <w:rPr>
          <w:rFonts w:cs="Times New Roman"/>
          <w:lang w:val="en-US"/>
        </w:rPr>
        <w:t xml:space="preserve">V. (2020) </w:t>
      </w:r>
      <w:proofErr w:type="spellStart"/>
      <w:r w:rsidR="0062688C" w:rsidRPr="00F15F35">
        <w:rPr>
          <w:rFonts w:cs="Times New Roman"/>
          <w:lang w:val="en-US"/>
        </w:rPr>
        <w:t>Ekonomichni</w:t>
      </w:r>
      <w:proofErr w:type="spellEnd"/>
      <w:r w:rsidR="0062688C" w:rsidRPr="00F15F35">
        <w:rPr>
          <w:rFonts w:cs="Times New Roman"/>
          <w:lang w:val="en-US"/>
        </w:rPr>
        <w:t xml:space="preserve"> </w:t>
      </w:r>
      <w:proofErr w:type="spellStart"/>
      <w:r w:rsidR="0062688C" w:rsidRPr="00F15F35">
        <w:rPr>
          <w:rFonts w:cs="Times New Roman"/>
          <w:lang w:val="en-US"/>
        </w:rPr>
        <w:t>naslidky</w:t>
      </w:r>
      <w:proofErr w:type="spellEnd"/>
      <w:r w:rsidR="0062688C" w:rsidRPr="00F15F35">
        <w:rPr>
          <w:rFonts w:cs="Times New Roman"/>
          <w:lang w:val="en-US"/>
        </w:rPr>
        <w:t xml:space="preserve"> </w:t>
      </w:r>
      <w:proofErr w:type="spellStart"/>
      <w:r w:rsidR="0062688C" w:rsidRPr="00F15F35">
        <w:rPr>
          <w:rFonts w:cs="Times New Roman"/>
          <w:lang w:val="en-US"/>
        </w:rPr>
        <w:t>poshyrennia</w:t>
      </w:r>
      <w:proofErr w:type="spellEnd"/>
      <w:r w:rsidR="0062688C" w:rsidRPr="00F15F35">
        <w:rPr>
          <w:rFonts w:cs="Times New Roman"/>
          <w:lang w:val="en-US"/>
        </w:rPr>
        <w:t xml:space="preserve"> COVID-19 ta </w:t>
      </w:r>
      <w:proofErr w:type="spellStart"/>
      <w:r w:rsidR="0062688C" w:rsidRPr="00F15F35">
        <w:rPr>
          <w:rFonts w:cs="Times New Roman"/>
          <w:lang w:val="en-US"/>
        </w:rPr>
        <w:t>problema</w:t>
      </w:r>
      <w:proofErr w:type="spellEnd"/>
      <w:r w:rsidR="0062688C" w:rsidRPr="00F15F35">
        <w:rPr>
          <w:rFonts w:cs="Times New Roman"/>
          <w:lang w:val="en-US"/>
        </w:rPr>
        <w:t xml:space="preserve"> </w:t>
      </w:r>
      <w:proofErr w:type="spellStart"/>
      <w:r w:rsidR="0062688C" w:rsidRPr="00F15F35">
        <w:rPr>
          <w:rFonts w:cs="Times New Roman"/>
          <w:lang w:val="en-US"/>
        </w:rPr>
        <w:t>bankrutstva</w:t>
      </w:r>
      <w:proofErr w:type="spellEnd"/>
      <w:r w:rsidR="0062688C" w:rsidRPr="00F15F35">
        <w:rPr>
          <w:rFonts w:cs="Times New Roman"/>
          <w:lang w:val="en-US"/>
        </w:rPr>
        <w:t xml:space="preserve"> v </w:t>
      </w:r>
      <w:proofErr w:type="spellStart"/>
      <w:r w:rsidR="0062688C" w:rsidRPr="00F15F35">
        <w:rPr>
          <w:rFonts w:cs="Times New Roman"/>
          <w:lang w:val="en-US"/>
        </w:rPr>
        <w:t>Ukraini</w:t>
      </w:r>
      <w:proofErr w:type="spellEnd"/>
      <w:r w:rsidR="0062688C" w:rsidRPr="00F15F35">
        <w:rPr>
          <w:rFonts w:cs="Times New Roman"/>
          <w:lang w:val="en-US"/>
        </w:rPr>
        <w:t xml:space="preserve"> [Economic consequences of the spread of COVID-19 and the problem of bankruptcy in Ukraine]. </w:t>
      </w:r>
      <w:r w:rsidR="0062688C" w:rsidRPr="00F15F35">
        <w:rPr>
          <w:rFonts w:cs="Times New Roman"/>
          <w:i/>
          <w:lang w:val="en-US"/>
        </w:rPr>
        <w:t>Modern issues of economics and law</w:t>
      </w:r>
      <w:r>
        <w:rPr>
          <w:rFonts w:cs="Times New Roman"/>
          <w:lang w:val="en-US"/>
        </w:rPr>
        <w:t>, vol. 1, pp. 146</w:t>
      </w:r>
      <w:r>
        <w:t>–</w:t>
      </w:r>
      <w:r w:rsidR="0062688C" w:rsidRPr="00F15F35">
        <w:rPr>
          <w:rFonts w:cs="Times New Roman"/>
          <w:lang w:val="en-US"/>
        </w:rPr>
        <w:t>153.</w:t>
      </w:r>
    </w:p>
    <w:p w:rsidR="0062688C" w:rsidRPr="00F15F35" w:rsidRDefault="00F15F35" w:rsidP="00F15F35">
      <w:pPr>
        <w:pStyle w:val="a4"/>
        <w:numPr>
          <w:ilvl w:val="0"/>
          <w:numId w:val="4"/>
        </w:numPr>
        <w:tabs>
          <w:tab w:val="left" w:pos="709"/>
        </w:tabs>
        <w:ind w:left="0" w:firstLine="284"/>
        <w:rPr>
          <w:rFonts w:cs="Times New Roman"/>
          <w:lang w:val="en-US"/>
        </w:rPr>
      </w:pPr>
      <w:proofErr w:type="spellStart"/>
      <w:r>
        <w:rPr>
          <w:rFonts w:cs="Times New Roman"/>
          <w:lang w:val="en-US"/>
        </w:rPr>
        <w:t>Dovhan</w:t>
      </w:r>
      <w:proofErr w:type="spellEnd"/>
      <w:r>
        <w:rPr>
          <w:rFonts w:cs="Times New Roman"/>
          <w:lang w:val="en-US"/>
        </w:rPr>
        <w:t xml:space="preserve"> </w:t>
      </w:r>
      <w:proofErr w:type="spellStart"/>
      <w:r>
        <w:rPr>
          <w:rFonts w:cs="Times New Roman"/>
          <w:lang w:val="en-US"/>
        </w:rPr>
        <w:t>Zh.</w:t>
      </w:r>
      <w:r w:rsidR="0062688C" w:rsidRPr="00F15F35">
        <w:rPr>
          <w:rFonts w:cs="Times New Roman"/>
          <w:lang w:val="en-US"/>
        </w:rPr>
        <w:t>M</w:t>
      </w:r>
      <w:proofErr w:type="spellEnd"/>
      <w:r w:rsidR="0062688C" w:rsidRPr="00F15F35">
        <w:rPr>
          <w:rFonts w:cs="Times New Roman"/>
          <w:lang w:val="en-US"/>
        </w:rPr>
        <w:t xml:space="preserve">. (2020) </w:t>
      </w:r>
      <w:proofErr w:type="spellStart"/>
      <w:r w:rsidR="0062688C" w:rsidRPr="00F15F35">
        <w:rPr>
          <w:rFonts w:cs="Times New Roman"/>
          <w:lang w:val="en-US"/>
        </w:rPr>
        <w:t>Vyklyky</w:t>
      </w:r>
      <w:proofErr w:type="spellEnd"/>
      <w:r w:rsidR="0062688C" w:rsidRPr="00F15F35">
        <w:rPr>
          <w:rFonts w:cs="Times New Roman"/>
          <w:lang w:val="en-US"/>
        </w:rPr>
        <w:t xml:space="preserve"> </w:t>
      </w:r>
      <w:proofErr w:type="spellStart"/>
      <w:r w:rsidR="0062688C" w:rsidRPr="00F15F35">
        <w:rPr>
          <w:rFonts w:cs="Times New Roman"/>
          <w:lang w:val="en-US"/>
        </w:rPr>
        <w:t>bankiv</w:t>
      </w:r>
      <w:proofErr w:type="spellEnd"/>
      <w:r w:rsidR="0062688C" w:rsidRPr="00F15F35">
        <w:rPr>
          <w:rFonts w:cs="Times New Roman"/>
          <w:lang w:val="en-US"/>
        </w:rPr>
        <w:t xml:space="preserve"> v </w:t>
      </w:r>
      <w:proofErr w:type="spellStart"/>
      <w:r w:rsidR="0062688C" w:rsidRPr="00F15F35">
        <w:rPr>
          <w:rFonts w:cs="Times New Roman"/>
          <w:lang w:val="en-US"/>
        </w:rPr>
        <w:t>umovakh</w:t>
      </w:r>
      <w:proofErr w:type="spellEnd"/>
      <w:r w:rsidR="0062688C" w:rsidRPr="00F15F35">
        <w:rPr>
          <w:rFonts w:cs="Times New Roman"/>
          <w:lang w:val="en-US"/>
        </w:rPr>
        <w:t xml:space="preserve"> </w:t>
      </w:r>
      <w:proofErr w:type="spellStart"/>
      <w:r w:rsidR="0062688C" w:rsidRPr="00F15F35">
        <w:rPr>
          <w:rFonts w:cs="Times New Roman"/>
          <w:lang w:val="en-US"/>
        </w:rPr>
        <w:t>pandemii</w:t>
      </w:r>
      <w:proofErr w:type="spellEnd"/>
      <w:r w:rsidR="0062688C" w:rsidRPr="00F15F35">
        <w:rPr>
          <w:rFonts w:cs="Times New Roman"/>
          <w:lang w:val="en-US"/>
        </w:rPr>
        <w:t xml:space="preserve"> COVID-19 [Challenges of banks in a pandemic COVID-19]. </w:t>
      </w:r>
      <w:r w:rsidR="0062688C" w:rsidRPr="00F15F35">
        <w:rPr>
          <w:rFonts w:cs="Times New Roman"/>
          <w:i/>
          <w:lang w:val="en-US"/>
        </w:rPr>
        <w:t>Innovative economy</w:t>
      </w:r>
      <w:r>
        <w:rPr>
          <w:rFonts w:cs="Times New Roman"/>
          <w:lang w:val="en-US"/>
        </w:rPr>
        <w:t>, no. 7</w:t>
      </w:r>
      <w:r>
        <w:t>–</w:t>
      </w:r>
      <w:r>
        <w:rPr>
          <w:rFonts w:cs="Times New Roman"/>
          <w:lang w:val="en-US"/>
        </w:rPr>
        <w:t>8, pp. 119</w:t>
      </w:r>
      <w:r>
        <w:t>–</w:t>
      </w:r>
      <w:r w:rsidR="0062688C" w:rsidRPr="00F15F35">
        <w:rPr>
          <w:rFonts w:cs="Times New Roman"/>
          <w:lang w:val="en-US"/>
        </w:rPr>
        <w:t>124.</w:t>
      </w:r>
    </w:p>
    <w:p w:rsidR="0062688C" w:rsidRPr="00F15F35" w:rsidRDefault="0062688C" w:rsidP="00F15F35">
      <w:pPr>
        <w:pStyle w:val="a4"/>
        <w:numPr>
          <w:ilvl w:val="0"/>
          <w:numId w:val="4"/>
        </w:numPr>
        <w:tabs>
          <w:tab w:val="left" w:pos="709"/>
        </w:tabs>
        <w:ind w:left="0" w:firstLine="284"/>
        <w:rPr>
          <w:rFonts w:cs="Times New Roman"/>
          <w:lang w:val="en-US"/>
        </w:rPr>
      </w:pPr>
      <w:proofErr w:type="spellStart"/>
      <w:r w:rsidRPr="00F15F35">
        <w:rPr>
          <w:rFonts w:cs="Times New Roman"/>
          <w:lang w:val="en-US"/>
        </w:rPr>
        <w:t>Porretta</w:t>
      </w:r>
      <w:proofErr w:type="spellEnd"/>
      <w:r w:rsidRPr="00F15F35">
        <w:rPr>
          <w:rFonts w:cs="Times New Roman"/>
          <w:lang w:val="en-US"/>
        </w:rPr>
        <w:t xml:space="preserve"> P., </w:t>
      </w:r>
      <w:proofErr w:type="spellStart"/>
      <w:r w:rsidRPr="00F15F35">
        <w:rPr>
          <w:rFonts w:cs="Times New Roman"/>
          <w:lang w:val="en-US"/>
        </w:rPr>
        <w:t>Benassi</w:t>
      </w:r>
      <w:proofErr w:type="spellEnd"/>
      <w:r w:rsidRPr="00F15F35">
        <w:rPr>
          <w:rFonts w:cs="Times New Roman"/>
          <w:lang w:val="en-US"/>
        </w:rPr>
        <w:t xml:space="preserve"> A. (2021) Sustainable vs. not sustainable cooperative banks business model: The case of GBCI and the authority view. </w:t>
      </w:r>
      <w:r w:rsidRPr="00F15F35">
        <w:rPr>
          <w:rFonts w:cs="Times New Roman"/>
          <w:i/>
          <w:lang w:val="en-US"/>
        </w:rPr>
        <w:t>Risk Governance and Control: Financial Markets &amp; Institutions</w:t>
      </w:r>
      <w:r w:rsidR="00F15F35">
        <w:rPr>
          <w:rFonts w:cs="Times New Roman"/>
          <w:lang w:val="en-US"/>
        </w:rPr>
        <w:t>, no. 11 (1), pp. 33</w:t>
      </w:r>
      <w:r w:rsidR="00F15F35">
        <w:t>–</w:t>
      </w:r>
      <w:r w:rsidRPr="00F15F35">
        <w:rPr>
          <w:rFonts w:cs="Times New Roman"/>
          <w:lang w:val="en-US"/>
        </w:rPr>
        <w:t>48. Available at: https://doi.or</w:t>
      </w:r>
      <w:r w:rsidR="00F15F35">
        <w:rPr>
          <w:rFonts w:cs="Times New Roman"/>
          <w:lang w:val="en-US"/>
        </w:rPr>
        <w:t>g/10.22495/rgcv11i1p3 (accessed</w:t>
      </w:r>
      <w:r w:rsidRPr="00F15F35">
        <w:rPr>
          <w:rFonts w:cs="Times New Roman"/>
          <w:lang w:val="en-US"/>
        </w:rPr>
        <w:t xml:space="preserve"> 02 September 2021).</w:t>
      </w:r>
    </w:p>
    <w:p w:rsidR="0062688C" w:rsidRPr="00F15F35" w:rsidRDefault="0062688C" w:rsidP="00F15F35">
      <w:pPr>
        <w:pStyle w:val="a4"/>
        <w:numPr>
          <w:ilvl w:val="0"/>
          <w:numId w:val="4"/>
        </w:numPr>
        <w:tabs>
          <w:tab w:val="left" w:pos="709"/>
        </w:tabs>
        <w:ind w:left="0" w:firstLine="284"/>
        <w:rPr>
          <w:rFonts w:cs="Times New Roman"/>
          <w:lang w:val="en-US"/>
        </w:rPr>
      </w:pPr>
      <w:proofErr w:type="spellStart"/>
      <w:r w:rsidRPr="00F15F35">
        <w:rPr>
          <w:rFonts w:cs="Times New Roman"/>
          <w:lang w:val="en-US"/>
        </w:rPr>
        <w:lastRenderedPageBreak/>
        <w:t>Teresiene</w:t>
      </w:r>
      <w:proofErr w:type="spellEnd"/>
      <w:r w:rsidR="00F15F35">
        <w:rPr>
          <w:rFonts w:cs="Times New Roman"/>
          <w:lang w:val="en-US"/>
        </w:rPr>
        <w:t xml:space="preserve"> D., </w:t>
      </w:r>
      <w:proofErr w:type="spellStart"/>
      <w:r w:rsidR="00F15F35">
        <w:rPr>
          <w:rFonts w:cs="Times New Roman"/>
          <w:lang w:val="en-US"/>
        </w:rPr>
        <w:t>Keliuotyte-Staniulenien</w:t>
      </w:r>
      <w:proofErr w:type="spellEnd"/>
      <w:r w:rsidR="00F15F35">
        <w:rPr>
          <w:rFonts w:cs="Times New Roman"/>
          <w:lang w:val="en-US"/>
        </w:rPr>
        <w:t xml:space="preserve"> E.</w:t>
      </w:r>
      <w:r w:rsidRPr="00F15F35">
        <w:rPr>
          <w:rFonts w:cs="Times New Roman"/>
          <w:lang w:val="en-US"/>
        </w:rPr>
        <w:t xml:space="preserve">G., </w:t>
      </w:r>
      <w:proofErr w:type="spellStart"/>
      <w:r w:rsidRPr="00F15F35">
        <w:rPr>
          <w:rFonts w:cs="Times New Roman"/>
          <w:lang w:val="en-US"/>
        </w:rPr>
        <w:t>Kanapickiene</w:t>
      </w:r>
      <w:proofErr w:type="spellEnd"/>
      <w:r w:rsidRPr="00F15F35">
        <w:rPr>
          <w:rFonts w:cs="Times New Roman"/>
          <w:lang w:val="en-US"/>
        </w:rPr>
        <w:t xml:space="preserve"> R. (2021) Sustainable Economic Growth Support through Credit Transmission Channel and Financial Stability: In the Context of the COVID-19 Pandemic. </w:t>
      </w:r>
      <w:r w:rsidRPr="00F15F35">
        <w:rPr>
          <w:rFonts w:cs="Times New Roman"/>
          <w:i/>
          <w:lang w:val="en-US"/>
        </w:rPr>
        <w:t>Sustainability</w:t>
      </w:r>
      <w:r w:rsidRPr="00F15F35">
        <w:rPr>
          <w:rFonts w:cs="Times New Roman"/>
          <w:lang w:val="en-US"/>
        </w:rPr>
        <w:t>, no. 13. Available at: https://doi.or</w:t>
      </w:r>
      <w:r w:rsidR="00F15F35">
        <w:rPr>
          <w:rFonts w:cs="Times New Roman"/>
          <w:lang w:val="en-US"/>
        </w:rPr>
        <w:t xml:space="preserve">g/10.3390/su13052692 (accessed </w:t>
      </w:r>
      <w:r w:rsidRPr="00F15F35">
        <w:rPr>
          <w:rFonts w:cs="Times New Roman"/>
          <w:lang w:val="en-US"/>
        </w:rPr>
        <w:t>02 September 2021).</w:t>
      </w:r>
    </w:p>
    <w:p w:rsidR="0062688C" w:rsidRPr="00F15F35" w:rsidRDefault="0062688C" w:rsidP="00F15F35">
      <w:pPr>
        <w:pStyle w:val="a4"/>
        <w:numPr>
          <w:ilvl w:val="0"/>
          <w:numId w:val="4"/>
        </w:numPr>
        <w:tabs>
          <w:tab w:val="left" w:pos="709"/>
        </w:tabs>
        <w:ind w:left="0" w:firstLine="284"/>
        <w:rPr>
          <w:lang w:val="en-US"/>
        </w:rPr>
      </w:pPr>
      <w:r w:rsidRPr="00F15F35">
        <w:rPr>
          <w:rFonts w:cs="Times New Roman"/>
          <w:lang w:val="en-US"/>
        </w:rPr>
        <w:t>Supervisory Statistics Data. National Bank of Ukraine, official site. Available at: https://bank.gov.ua (accessed 10 June 2021).</w:t>
      </w:r>
      <w:bookmarkStart w:id="18" w:name="_GoBack"/>
      <w:bookmarkEnd w:id="18"/>
    </w:p>
    <w:sectPr w:rsidR="0062688C" w:rsidRPr="00F15F35" w:rsidSect="00B868D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325"/>
    <w:multiLevelType w:val="hybridMultilevel"/>
    <w:tmpl w:val="69320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873E7E"/>
    <w:multiLevelType w:val="hybridMultilevel"/>
    <w:tmpl w:val="72E67C3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52E157B"/>
    <w:multiLevelType w:val="hybridMultilevel"/>
    <w:tmpl w:val="94E82A64"/>
    <w:lvl w:ilvl="0" w:tplc="72E64048">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39041DE3"/>
    <w:multiLevelType w:val="hybridMultilevel"/>
    <w:tmpl w:val="82B4C940"/>
    <w:lvl w:ilvl="0" w:tplc="4F8627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13D86"/>
    <w:multiLevelType w:val="hybridMultilevel"/>
    <w:tmpl w:val="04EE7FAA"/>
    <w:lvl w:ilvl="0" w:tplc="00F4C77C">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E"/>
    <w:rsid w:val="000D2FB2"/>
    <w:rsid w:val="002747C6"/>
    <w:rsid w:val="00357C2B"/>
    <w:rsid w:val="003A16CE"/>
    <w:rsid w:val="005947AC"/>
    <w:rsid w:val="0062688C"/>
    <w:rsid w:val="00896B6D"/>
    <w:rsid w:val="00B868DB"/>
    <w:rsid w:val="00D110AE"/>
    <w:rsid w:val="00F113F3"/>
    <w:rsid w:val="00F1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8C"/>
    <w:pPr>
      <w:spacing w:after="0" w:line="360" w:lineRule="auto"/>
      <w:ind w:firstLine="284"/>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88C"/>
    <w:rPr>
      <w:color w:val="0000FF" w:themeColor="hyperlink"/>
      <w:u w:val="single"/>
    </w:rPr>
  </w:style>
  <w:style w:type="paragraph" w:styleId="a4">
    <w:name w:val="List Paragraph"/>
    <w:basedOn w:val="a"/>
    <w:uiPriority w:val="34"/>
    <w:qFormat/>
    <w:rsid w:val="0062688C"/>
    <w:pPr>
      <w:ind w:left="720"/>
      <w:contextualSpacing/>
    </w:pPr>
  </w:style>
  <w:style w:type="character" w:customStyle="1" w:styleId="fontstyle01">
    <w:name w:val="fontstyle01"/>
    <w:basedOn w:val="a0"/>
    <w:rsid w:val="0062688C"/>
    <w:rPr>
      <w:rFonts w:ascii="Times New Roman" w:hAnsi="Times New Roman" w:cs="Times New Roman" w:hint="default"/>
      <w:b w:val="0"/>
      <w:bCs w:val="0"/>
      <w:i w:val="0"/>
      <w:iCs w:val="0"/>
      <w:color w:val="000000"/>
      <w:sz w:val="28"/>
      <w:szCs w:val="28"/>
    </w:rPr>
  </w:style>
  <w:style w:type="table" w:styleId="a5">
    <w:name w:val="Table Grid"/>
    <w:basedOn w:val="a1"/>
    <w:uiPriority w:val="39"/>
    <w:rsid w:val="0062688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я тескт"/>
    <w:basedOn w:val="a"/>
    <w:link w:val="a7"/>
    <w:qFormat/>
    <w:rsid w:val="0062688C"/>
    <w:pPr>
      <w:spacing w:line="240" w:lineRule="auto"/>
      <w:ind w:firstLine="0"/>
    </w:pPr>
    <w:rPr>
      <w:rFonts w:eastAsia="Times New Roman" w:cs="Calibri"/>
      <w:color w:val="000000"/>
      <w:sz w:val="24"/>
      <w:lang w:eastAsia="uk-UA"/>
    </w:rPr>
  </w:style>
  <w:style w:type="character" w:customStyle="1" w:styleId="a7">
    <w:name w:val="Таблиця тескт Знак"/>
    <w:basedOn w:val="a0"/>
    <w:link w:val="a6"/>
    <w:rsid w:val="0062688C"/>
    <w:rPr>
      <w:rFonts w:ascii="Times New Roman" w:eastAsia="Times New Roman" w:hAnsi="Times New Roman" w:cs="Calibri"/>
      <w:color w:val="000000"/>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8C"/>
    <w:pPr>
      <w:spacing w:after="0" w:line="360" w:lineRule="auto"/>
      <w:ind w:firstLine="284"/>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88C"/>
    <w:rPr>
      <w:color w:val="0000FF" w:themeColor="hyperlink"/>
      <w:u w:val="single"/>
    </w:rPr>
  </w:style>
  <w:style w:type="paragraph" w:styleId="a4">
    <w:name w:val="List Paragraph"/>
    <w:basedOn w:val="a"/>
    <w:uiPriority w:val="34"/>
    <w:qFormat/>
    <w:rsid w:val="0062688C"/>
    <w:pPr>
      <w:ind w:left="720"/>
      <w:contextualSpacing/>
    </w:pPr>
  </w:style>
  <w:style w:type="character" w:customStyle="1" w:styleId="fontstyle01">
    <w:name w:val="fontstyle01"/>
    <w:basedOn w:val="a0"/>
    <w:rsid w:val="0062688C"/>
    <w:rPr>
      <w:rFonts w:ascii="Times New Roman" w:hAnsi="Times New Roman" w:cs="Times New Roman" w:hint="default"/>
      <w:b w:val="0"/>
      <w:bCs w:val="0"/>
      <w:i w:val="0"/>
      <w:iCs w:val="0"/>
      <w:color w:val="000000"/>
      <w:sz w:val="28"/>
      <w:szCs w:val="28"/>
    </w:rPr>
  </w:style>
  <w:style w:type="table" w:styleId="a5">
    <w:name w:val="Table Grid"/>
    <w:basedOn w:val="a1"/>
    <w:uiPriority w:val="39"/>
    <w:rsid w:val="0062688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я тескт"/>
    <w:basedOn w:val="a"/>
    <w:link w:val="a7"/>
    <w:qFormat/>
    <w:rsid w:val="0062688C"/>
    <w:pPr>
      <w:spacing w:line="240" w:lineRule="auto"/>
      <w:ind w:firstLine="0"/>
    </w:pPr>
    <w:rPr>
      <w:rFonts w:eastAsia="Times New Roman" w:cs="Calibri"/>
      <w:color w:val="000000"/>
      <w:sz w:val="24"/>
      <w:lang w:eastAsia="uk-UA"/>
    </w:rPr>
  </w:style>
  <w:style w:type="character" w:customStyle="1" w:styleId="a7">
    <w:name w:val="Таблиця тескт Знак"/>
    <w:basedOn w:val="a0"/>
    <w:link w:val="a6"/>
    <w:rsid w:val="0062688C"/>
    <w:rPr>
      <w:rFonts w:ascii="Times New Roman" w:eastAsia="Times New Roman" w:hAnsi="Times New Roman" w:cs="Calibri"/>
      <w:color w:val="000000"/>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4198</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2021-10-26T10:27:00Z</dcterms:created>
  <dcterms:modified xsi:type="dcterms:W3CDTF">2021-10-28T10:24:00Z</dcterms:modified>
</cp:coreProperties>
</file>