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90FB" w14:textId="77777777" w:rsidR="00016247" w:rsidRPr="00E7504F" w:rsidRDefault="00016247" w:rsidP="001265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УДК 35.076</w:t>
      </w:r>
    </w:p>
    <w:p w14:paraId="4225A7C7" w14:textId="77777777" w:rsidR="002923BB" w:rsidRPr="00E7504F" w:rsidRDefault="002923BB" w:rsidP="0012654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A258C8" w14:textId="77777777" w:rsidR="002923BB" w:rsidRPr="00E7504F" w:rsidRDefault="008A0B48" w:rsidP="00126548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Чанишева</w:t>
      </w:r>
      <w:proofErr w:type="spellEnd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Г.</w:t>
      </w:r>
      <w:r w:rsidR="002923BB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І.</w:t>
      </w:r>
    </w:p>
    <w:p w14:paraId="3E50BC52" w14:textId="77777777" w:rsidR="0067551F" w:rsidRPr="00E7504F" w:rsidRDefault="00016247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доктор юридичних наук, професор</w:t>
      </w:r>
      <w:r w:rsidR="000F15C2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член-кореспондент </w:t>
      </w:r>
    </w:p>
    <w:p w14:paraId="7C743077" w14:textId="77777777" w:rsidR="0067551F" w:rsidRPr="00E7504F" w:rsidRDefault="000F15C2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Національної академії правових наук України, </w:t>
      </w:r>
    </w:p>
    <w:p w14:paraId="2434C22E" w14:textId="3A557B9E" w:rsidR="00016247" w:rsidRPr="00E7504F" w:rsidRDefault="000F15C2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декан соціально-правового факультету </w:t>
      </w:r>
    </w:p>
    <w:p w14:paraId="7C0063B9" w14:textId="0C6334C8" w:rsidR="008A0B48" w:rsidRPr="00E7504F" w:rsidRDefault="000F15C2" w:rsidP="0067551F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Національного</w:t>
      </w:r>
      <w:r w:rsidR="00016247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університет</w:t>
      </w: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</w:t>
      </w:r>
      <w:r w:rsidR="00016247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«Одеська юридична академія»</w:t>
      </w:r>
    </w:p>
    <w:p w14:paraId="35FEA193" w14:textId="77777777" w:rsidR="008A0B48" w:rsidRPr="00E7504F" w:rsidRDefault="008A0B48" w:rsidP="008A0B48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Наньєва</w:t>
      </w:r>
      <w:proofErr w:type="spellEnd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М.І.</w:t>
      </w:r>
    </w:p>
    <w:p w14:paraId="56735243" w14:textId="77777777" w:rsidR="0067551F" w:rsidRPr="00E7504F" w:rsidRDefault="008A0B48" w:rsidP="008A0B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кандидат юридичних наук, доцент кафедри трудового права </w:t>
      </w:r>
    </w:p>
    <w:p w14:paraId="23EE8DD6" w14:textId="2127B30D" w:rsidR="008A0B48" w:rsidRPr="00E7504F" w:rsidRDefault="008A0B48" w:rsidP="008A0B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та права соціального забезпечення</w:t>
      </w:r>
    </w:p>
    <w:p w14:paraId="11C41766" w14:textId="77777777" w:rsidR="008A0B48" w:rsidRPr="00E7504F" w:rsidRDefault="008A0B48" w:rsidP="008A0B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Національного університету «Одеська юридична академія»</w:t>
      </w:r>
    </w:p>
    <w:p w14:paraId="2AC25090" w14:textId="77777777" w:rsidR="002923BB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B997A1A" w14:textId="77777777" w:rsidR="002923BB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Chanysheva</w:t>
      </w:r>
      <w:proofErr w:type="spellEnd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Galiya</w:t>
      </w:r>
      <w:proofErr w:type="spellEnd"/>
    </w:p>
    <w:p w14:paraId="03C727E3" w14:textId="77777777" w:rsidR="0067551F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Doctor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Sciences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Professor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</w:p>
    <w:p w14:paraId="49EE36D3" w14:textId="0B0CC3FB" w:rsidR="002923BB" w:rsidRPr="00E7504F" w:rsidRDefault="006D76A4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Сorresponding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Member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National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Academy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Sciences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Ukraine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</w:p>
    <w:p w14:paraId="52BA0E66" w14:textId="77777777" w:rsidR="006D76A4" w:rsidRPr="00E7504F" w:rsidRDefault="005E47BA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T</w:t>
      </w:r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he</w:t>
      </w:r>
      <w:proofErr w:type="spellEnd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head</w:t>
      </w:r>
      <w:proofErr w:type="spellEnd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the</w:t>
      </w:r>
      <w:proofErr w:type="spellEnd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Social</w:t>
      </w:r>
      <w:proofErr w:type="spellEnd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76A4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Faculty</w:t>
      </w:r>
      <w:proofErr w:type="spellEnd"/>
    </w:p>
    <w:p w14:paraId="64D88F9C" w14:textId="263CFA83" w:rsidR="002923BB" w:rsidRPr="00E7504F" w:rsidRDefault="006D76A4" w:rsidP="0067551F">
      <w:pPr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National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University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Odessa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Academy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»</w:t>
      </w:r>
    </w:p>
    <w:p w14:paraId="630A4629" w14:textId="77777777" w:rsidR="002923BB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Nanieva</w:t>
      </w:r>
      <w:proofErr w:type="spellEnd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Maria</w:t>
      </w:r>
      <w:proofErr w:type="spellEnd"/>
    </w:p>
    <w:p w14:paraId="0464B33E" w14:textId="77777777" w:rsidR="0067551F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Candidate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Sciences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), </w:t>
      </w:r>
    </w:p>
    <w:p w14:paraId="1C3281B7" w14:textId="0A51EFAF" w:rsidR="002923BB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Associate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Professor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Department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Labour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Social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Security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</w:p>
    <w:p w14:paraId="58A715C2" w14:textId="77777777" w:rsidR="002923BB" w:rsidRPr="00E7504F" w:rsidRDefault="002923BB" w:rsidP="00126548">
      <w:pPr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National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University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Odessa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Academy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Law</w:t>
      </w:r>
      <w:proofErr w:type="spellEnd"/>
      <w:r w:rsidRPr="00E7504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»</w:t>
      </w:r>
    </w:p>
    <w:p w14:paraId="1CFA89DF" w14:textId="77777777" w:rsidR="00016247" w:rsidRPr="00E7504F" w:rsidRDefault="00016247" w:rsidP="0012654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87F40C" w14:textId="77777777" w:rsidR="009B1193" w:rsidRPr="00E7504F" w:rsidRDefault="009B1193" w:rsidP="001265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НОРМИ МІЖНАРОДНОГО ТА НАЦІОНАЛЬНОГО ПРАВА ЯК ПРАВОВА ОСНОВА УПРАВЛІНСЬКОЇ ДІЯЛЬНОСТІ </w:t>
      </w:r>
    </w:p>
    <w:p w14:paraId="44AA4780" w14:textId="77777777" w:rsidR="008A0B48" w:rsidRPr="00E7504F" w:rsidRDefault="008A0B48" w:rsidP="001265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385DCDB" w14:textId="77777777" w:rsidR="009B1193" w:rsidRPr="00E7504F" w:rsidRDefault="009B1193" w:rsidP="001265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NORMS OF INTERNATIONAL AND NATIONAL LAW AS A LE</w:t>
      </w:r>
      <w:r w:rsidR="00FA5616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GAL BASIS OF MANAGEMENT WORK</w:t>
      </w:r>
    </w:p>
    <w:p w14:paraId="517691DA" w14:textId="77777777" w:rsidR="00966E37" w:rsidRPr="00E7504F" w:rsidRDefault="00966E37" w:rsidP="0012654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CC63F4C" w14:textId="77777777" w:rsidR="008A0B48" w:rsidRPr="00E7504F" w:rsidRDefault="00FA5616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АНОТАЦІЯ</w:t>
      </w:r>
    </w:p>
    <w:p w14:paraId="6C771E0C" w14:textId="4E96A9DA" w:rsidR="00FA5616" w:rsidRPr="00E7504F" w:rsidRDefault="00966E37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Статт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присвячен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актуальним питанням управлінської діяльності, зокрема характеристиці норм міжнародного та національного права, що 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становлять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правову основу управлінської діяльності. 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адано визначення державного управління та охарактеризовано його систему та організаційну структуру. Охарактеризовано правову базу управлінської діяльності та юридичне забезпечення державного управління. Зазначен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основні міжнародно-правові акти,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національного законодавства у сфері управлінської діяльності. Досліджен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Стратегі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реформування державного управління України</w:t>
      </w:r>
      <w:r w:rsidR="006834A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6834A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роаналізовано роль договірних та локальних нормативно-правових актів в управлінській діяльності.</w:t>
      </w:r>
      <w:r w:rsidR="004B4870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Питання правового регулювання управлінської діяльності в успішному функціонуванні держави є актуальним питанням сьогодення.</w:t>
      </w:r>
    </w:p>
    <w:p w14:paraId="30C8B197" w14:textId="77777777" w:rsidR="00FA5616" w:rsidRPr="00E7504F" w:rsidRDefault="00FA5616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слова:</w:t>
      </w:r>
      <w:r w:rsidR="0035081E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5081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управлінська діяльність, державне управління, правова основа управлінської діяльності, норми міжнародного права, міжнародні стандарти, національне законодавство.</w:t>
      </w:r>
    </w:p>
    <w:p w14:paraId="1E51B1D1" w14:textId="77777777" w:rsidR="0035081E" w:rsidRPr="00E7504F" w:rsidRDefault="0035081E" w:rsidP="0012654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F1F6F19" w14:textId="77777777" w:rsidR="008A0B48" w:rsidRPr="00E7504F" w:rsidRDefault="00FA5616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АННОТАЦИЯ</w:t>
      </w:r>
    </w:p>
    <w:p w14:paraId="33F5F98F" w14:textId="085E2C63" w:rsidR="00A56E24" w:rsidRPr="00E7504F" w:rsidRDefault="0035081E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посвящена актуальным вопросам управленческой деятельности, в частности характеристике норм международного и национального права, составляющих правовую основу управленческой деятельности. 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>ано определение государственного управления и охарактеризован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систем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организационн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Охарактеризован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>баз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управленческой деятельности и юридическое обеспечение государственного управления.</w:t>
      </w:r>
      <w:proofErr w:type="gramEnd"/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основные международно-правовые акты, акты национального законодательства в сфере управленческой деятельности. Исследована Стратегия реформирования государственного управления Украины. </w:t>
      </w:r>
      <w:r w:rsidR="00E750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>роанализирована роль договорных и локальных нормативно-правовых актов в управленческой деятельности. Вопросы правового регулирования управленческой деятельности в успешном функционировании государства являются актуальными вопросами современности.</w:t>
      </w:r>
    </w:p>
    <w:p w14:paraId="7E73B6DE" w14:textId="77777777" w:rsidR="00FA5616" w:rsidRPr="00E7504F" w:rsidRDefault="00FA5616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Ключевые слова:</w:t>
      </w:r>
      <w:r w:rsidR="00A56E24" w:rsidRPr="00E75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6E24" w:rsidRPr="00E7504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управленческая деятельность, государственное управление, правовая основа управленческой деятельности, нормы международного права, международные стандарты, национальное законодательство.</w:t>
      </w:r>
    </w:p>
    <w:p w14:paraId="383B4D46" w14:textId="77777777" w:rsidR="00F93E48" w:rsidRPr="00E7504F" w:rsidRDefault="00F93E48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103C30" w14:textId="77777777" w:rsidR="008A0B48" w:rsidRPr="00E7504F" w:rsidRDefault="00FA5616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ANNOTATION</w:t>
      </w:r>
    </w:p>
    <w:p w14:paraId="47E1DB66" w14:textId="77777777" w:rsidR="00FA5616" w:rsidRPr="00E7504F" w:rsidRDefault="00F93E48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A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large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number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studies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devoted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issue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particular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field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government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But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issues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origin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Soviet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period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considered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greater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extent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article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devoted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topical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issues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particular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it’s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devoted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characteristics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law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which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form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basis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article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provides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definition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government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describes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system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organizational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structure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basis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support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government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characterized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basic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legislation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field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activity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specified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Strategy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Public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Administration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Reform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Ukraine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been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studied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article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also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analyzes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role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contractual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local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issue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activities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successful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functioning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actual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question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nowadays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various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areas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whether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status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functioning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organization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cooperation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with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other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organizations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establishment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enterprise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employees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etc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.)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by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more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2,000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this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ensures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activities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government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all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levels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other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significant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shortcoming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sometimes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leads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confusion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practice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unequal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interpretation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law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including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managers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However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one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most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important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regulators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regardless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specific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area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which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conducted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organizing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role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law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which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law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law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play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a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significant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role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helping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functionally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organize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complex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social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processes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concentrate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state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organs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all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its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components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base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includes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field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general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special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legislation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contractual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field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local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regulations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that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define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specific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methods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techniques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EAAA95A" w14:textId="05C24BAC" w:rsidR="00FA5616" w:rsidRPr="00E7504F" w:rsidRDefault="00FA5616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Keywords</w:t>
      </w:r>
      <w:proofErr w:type="spellEnd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government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basis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management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work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norms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law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international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standards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national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legislation</w:t>
      </w:r>
      <w:proofErr w:type="spellEnd"/>
      <w:r w:rsidR="00971A1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42FBE9C" w14:textId="77777777" w:rsidR="00FA5616" w:rsidRPr="00E7504F" w:rsidRDefault="00FA5616" w:rsidP="0012654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6B02324" w14:textId="05328169" w:rsidR="00FA5616" w:rsidRPr="00E7504F" w:rsidRDefault="00D1301D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57D7B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Питанню правового регулювання управлінської діяльності, зокрема у сфері державного управління</w:t>
      </w:r>
      <w:r w:rsidR="00917C08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присвячен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досить велик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кількість досліджень. Але більш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ою 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ою 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розглянут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питання зародження правового регулювання управлінської діяльності та його правової регламентації в радянський період. У зв’язку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457D7B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цим видається актуальним дослідження питання правової основи управлінської діяльності </w:t>
      </w:r>
      <w:r w:rsidR="00917C08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урахуванням міжнародних норм та норм національного права в умовах сьогодення.</w:t>
      </w:r>
      <w:r w:rsidR="0021509C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Значення чіткої правової регламентації управлінської діяльності та її дотримання має особливе значення у сучасних соціально-економічних умовах.</w:t>
      </w:r>
    </w:p>
    <w:p w14:paraId="4E40E5F5" w14:textId="4014750D" w:rsidR="00FA5616" w:rsidRPr="00E7504F" w:rsidRDefault="00D1301D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і публікацій</w:t>
      </w:r>
      <w:r w:rsidRPr="00092274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 і на які спира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92274">
        <w:rPr>
          <w:rFonts w:ascii="Times New Roman" w:hAnsi="Times New Roman"/>
          <w:sz w:val="28"/>
          <w:szCs w:val="28"/>
          <w:lang w:val="uk-UA"/>
        </w:rPr>
        <w:t>ться автор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="00652386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Теоретичні та практичні проблеми правового забезпечення управлінської діяльності досліджувалис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я</w:t>
      </w:r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 наукових працях В.Б.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Авер’янова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Н.Г.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Атаманчука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Н. Александрова, Ю.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Битяка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Н.Б. Боло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тіної, О.Я.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Гугул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В.С. Венеді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ктова,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В.В. Жернакова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С.М. При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липко, В.І. Прокопенка,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О.І. Процевс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ького, Б.С.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Стичинського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Стеценко</w:t>
      </w:r>
      <w:proofErr w:type="spellEnd"/>
      <w:r w:rsidR="00652386" w:rsidRPr="00E750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ін.</w:t>
      </w:r>
    </w:p>
    <w:p w14:paraId="2AC2C597" w14:textId="2B2DD0E8" w:rsidR="00FA5616" w:rsidRPr="00E7504F" w:rsidRDefault="00D1301D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92274">
        <w:rPr>
          <w:rFonts w:ascii="Times New Roman" w:hAnsi="Times New Roman"/>
          <w:sz w:val="28"/>
          <w:szCs w:val="28"/>
          <w:lang w:val="uk-UA"/>
        </w:rPr>
        <w:t>Формулювання цілей статті (</w:t>
      </w: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завдання</w:t>
      </w:r>
      <w:r w:rsidRPr="0009227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2386" w:rsidRPr="00D13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Метою</w:t>
      </w:r>
      <w:r w:rsidR="00FA5616" w:rsidRPr="00D13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</w:t>
      </w:r>
      <w:r w:rsidR="00652386" w:rsidRPr="00D13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</w:t>
      </w:r>
      <w:r w:rsidR="00652386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5238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правової бази управлінської діяльності, зазначення основних міжнародних та національних </w:t>
      </w:r>
      <w:r w:rsidR="00457D7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нормативно-правових актів, що регулюють відносини у сфері управлінської діяльності, визначення основних проблем та шляхів їх подолання.</w:t>
      </w:r>
    </w:p>
    <w:p w14:paraId="0D2306AD" w14:textId="1B964333" w:rsidR="007663C5" w:rsidRPr="00E7504F" w:rsidRDefault="00D1301D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lastRenderedPageBreak/>
        <w:t>Виклад основного матеріалу дослідження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663C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Управлінська діяльність за різними напрямами (чи то правовий статус та функціонування організації або співпраця з іншими організаціями, налагодження роботи підприємства, регулювання діяльності співробітників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63C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тощо) регулюється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понад </w:t>
      </w:r>
      <w:r w:rsidR="007663C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 </w:t>
      </w:r>
      <w:r w:rsidR="007663C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нормативно-правових актів.</w:t>
      </w:r>
    </w:p>
    <w:p w14:paraId="13C3E601" w14:textId="6E9CCEEC" w:rsidR="00093863" w:rsidRPr="00E7504F" w:rsidRDefault="008E4FBF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Управлінську діяльність тісно пов’язують </w:t>
      </w:r>
      <w:r w:rsidR="00D13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державним управлінням</w:t>
      </w:r>
      <w:r w:rsidR="00093863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D5B6EF5" w14:textId="77777777" w:rsidR="00C673CB" w:rsidRPr="00E7504F" w:rsidRDefault="00C673CB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Державне управління </w:t>
      </w:r>
      <w:r w:rsidRPr="00E7504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–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цілеспрямований організаційний та регулюючий</w:t>
      </w:r>
    </w:p>
    <w:p w14:paraId="17BC887E" w14:textId="73F8E714" w:rsidR="00093863" w:rsidRPr="00E7504F" w:rsidRDefault="00C673CB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вплив держави на стан і розвиток суспільних процесів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свідомість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поведінку та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діяльність особи і громадянина з метою досягнення цілей та реалізації функцій</w:t>
      </w:r>
      <w:r w:rsidR="00093863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держави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відображених </w:t>
      </w:r>
      <w:r w:rsidR="00D1301D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Конституції та законодавчих актах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шляхом запровадження державної політики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виробленої політичною системою та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законодавчо закріпленої, через діяльність органів державної влади, наділених необхідною компетенцією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6CD1B4C" w14:textId="78EEF8B4" w:rsidR="00093863" w:rsidRPr="00E7504F" w:rsidRDefault="00093863" w:rsidP="00126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val="uk-UA"/>
        </w:rPr>
        <w:t>Система державного управління</w:t>
      </w:r>
      <w:r w:rsidRPr="00E7504F">
        <w:rPr>
          <w:rFonts w:ascii="Times New Roman" w:eastAsia="TimesNewRoman,Italic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може бути представлена як єдність таких склад</w:t>
      </w:r>
      <w:r w:rsidR="00D1301D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ників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759CFE0F" w14:textId="02C80B14" w:rsidR="00093863" w:rsidRPr="00E7504F" w:rsidRDefault="00093863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організація і функціонування суб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єкта управління 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держави в особі органів державної влади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2CB8248" w14:textId="0D9E38E3" w:rsidR="00093863" w:rsidRPr="00E7504F" w:rsidRDefault="00093863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єкти управління 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суспільство </w:t>
      </w:r>
      <w:r w:rsidR="00D1301D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цілому та його компоненти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які під</w:t>
      </w:r>
      <w:r w:rsidR="00806416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падають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під управлінський вплив держави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сприймають його і беруть участь у формуванні механізмів управління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451CF4E" w14:textId="09F91DF5" w:rsidR="00093863" w:rsidRPr="00E7504F" w:rsidRDefault="00093863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структура взаємозв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язків управлінської системи </w:t>
      </w:r>
      <w:r w:rsidR="00806416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з суспільною системою 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–</w:t>
      </w:r>
    </w:p>
    <w:p w14:paraId="018AEAA9" w14:textId="77777777" w:rsidR="00093863" w:rsidRPr="00E7504F" w:rsidRDefault="00093863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керованими об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єктами</w:t>
      </w:r>
      <w:r w:rsidR="00DB6B36"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9A43DA"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1, с. 14</w:t>
      </w:r>
      <w:r w:rsidR="00DB6B36"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].</w:t>
      </w:r>
    </w:p>
    <w:p w14:paraId="49590AAB" w14:textId="77777777" w:rsidR="00E37D23" w:rsidRPr="00E7504F" w:rsidRDefault="00E37D23" w:rsidP="00126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Організаційна структура державного управління базується</w:t>
      </w:r>
      <w:r w:rsidR="00011852"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 на функціональній структурі та залежить від управлінських функцій, які повинні виконуватися владними структурами на різних рівнях державно-управлінської системи.</w:t>
      </w:r>
    </w:p>
    <w:p w14:paraId="77FB2194" w14:textId="326557A7" w:rsidR="00E37D23" w:rsidRPr="00E7504F" w:rsidRDefault="00E37D23" w:rsidP="00126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val="uk-UA"/>
        </w:rPr>
        <w:t xml:space="preserve">Юридичне забезпечення </w:t>
      </w:r>
      <w:r w:rsidR="00011852" w:rsidRPr="00E7504F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val="uk-UA"/>
        </w:rPr>
        <w:t xml:space="preserve">саме </w:t>
      </w:r>
      <w:r w:rsidRPr="00E7504F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val="uk-UA"/>
        </w:rPr>
        <w:t xml:space="preserve">державного управління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визначене сучасною нормативно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-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правовою базою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Конституцію України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06416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аконодавством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lastRenderedPageBreak/>
        <w:t>України про державний устрій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державну службу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державне управління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регіональне управління</w:t>
      </w:r>
      <w:r w:rsidRPr="00E7504F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8441FCD" w14:textId="3DA6EF27" w:rsidR="00093863" w:rsidRPr="00E7504F" w:rsidRDefault="00E37D23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вітчизняному законодавстві нормативним актом, який є підґрунтям формування та функціонування управлінської діяльності, є Конституція України [</w:t>
      </w:r>
      <w:r w:rsidR="003C2AE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], яка утверджує основоположні склад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ники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конституційного ладу.</w:t>
      </w:r>
    </w:p>
    <w:p w14:paraId="6884F12F" w14:textId="6C56C0FD" w:rsidR="00BD68F9" w:rsidRPr="00E7504F" w:rsidRDefault="003C5EC5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</w:t>
      </w:r>
      <w:r w:rsidR="00BD68F9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бравши демократичний державно-правовий режим, Україна повинна слідувати його принципам, створювати якомога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прийнятні </w:t>
      </w:r>
      <w:r w:rsidR="00BD68F9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умови для проживання кожного на підпорядкованій їй території.</w:t>
      </w:r>
    </w:p>
    <w:p w14:paraId="4F257FB3" w14:textId="77777777" w:rsidR="00CC0CFA" w:rsidRPr="00E7504F" w:rsidRDefault="007663C5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управлінська діяльність регулюється великим масивом нормативно-правових актів. До правової бази управлінської діяльності відносять: міжнародно-правові акти у сфері управлінської діяльності, загальне та спеціальне законодавство, договірні акти у сфері управлінської діяльності та локальні нормативно-правові акти, що визначають конкретні методи та прийоми управління.</w:t>
      </w:r>
    </w:p>
    <w:p w14:paraId="6CA0D7E2" w14:textId="630CDB9D" w:rsidR="007663C5" w:rsidRPr="00E7504F" w:rsidRDefault="007663C5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Міжнародно-правові акти в галузі прав людини прийнято називати міжнародними стандартами. Цим терміном охоплюються різнорідні норми, такі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правила міжнародних договорів, резолюції міжнародних організацій, політичні домовленості типу Гельсінського Заключного акта, документів Віденської і Копенгагенської зустрічей ОБСЄ (НБСЄ), міжнародні звичаї. </w:t>
      </w:r>
    </w:p>
    <w:p w14:paraId="7186DB7B" w14:textId="28606374" w:rsidR="00C673CB" w:rsidRPr="00E7504F" w:rsidRDefault="003C5EC5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сеосяжні зусилля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захисту прав і свобод людини беруть початок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Статуту ООН, де одніє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основних своїх цілей Об'єднані Нації проголосили «знову затвердити віру в основні права людини, у гідність і цінність людської особистості, у рівноправність чоловіків і жінок і в рівність прав великих і малих націй». Розроб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лення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прийняття в рамках ООН Білля про права людини, що включає Загальну декларацію прав людини 1948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Пакт про громадянські та політичні права з Факультативними протоколами до нього і Пакт про економічні, соціальні та культурні права, відкриті для підписання в 1966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ознаменували якісно новий етап у розвитку міжнародних норм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прав людини. Предметом цих міжнародних актів є не окремі права або захист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особливої категорії осіб, а права всіх індивідів у всіх сферах суспільного життя.</w:t>
      </w:r>
    </w:p>
    <w:p w14:paraId="5D9EEA8E" w14:textId="5A8BFFE2" w:rsidR="00011852" w:rsidRPr="00E7504F" w:rsidRDefault="00011852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важливими міжнародні стандарти у сфері регулюванн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антикорупційної політики, особливо якщо ми говоримо про сектор державного управління. Основою державної антикорупційної політики в Україні є міжнародні договори, згоду на обов’язковість яких надано Верховною Радою України, та зобов’язання України у сфері європейської інтеграції та права Європейського Союзу. Україною було підписано та ратифіковано: Цивільну конвенцію про боротьбу з корупцією (розроблена Радою Європи), підписан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імені України 4 листопада 1999 р. в м. Страсбурзі та ратифікован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України від 16 березня 2005 р.; Конвенцію Організації Об’єднаних Націй проти корупції, підписан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імені України 11 грудня 2003 р. в м.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Меріда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(Мексиканські Сполучені Штати) і ратифікован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України від 18 жовтня 2006 р.; Кримінальну конвенці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боротьбу з корупцією (розроблена Радою Європи), підписан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імені України 27 січня 1999 р. в м. Страсбурзі та ратифікован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України від 18 жовтня 2006 р. № 252-V.</w:t>
      </w:r>
    </w:p>
    <w:p w14:paraId="34992094" w14:textId="674D5043" w:rsidR="00C673CB" w:rsidRPr="00E7504F" w:rsidRDefault="00F128FD" w:rsidP="00126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 також зазначити</w:t>
      </w:r>
      <w:r w:rsidR="00DB6B36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37D23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процесі </w:t>
      </w:r>
      <w:r w:rsidR="00E37D23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діяльності таких міжнародних інституцій</w:t>
      </w:r>
      <w:r w:rsidR="003C5EC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як Світовий банк, ОЕСР, ЄС, ООН</w:t>
      </w:r>
      <w:r w:rsidR="003C5EC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було сформовано поняття </w:t>
      </w:r>
      <w:proofErr w:type="spellStart"/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good</w:t>
      </w:r>
      <w:proofErr w:type="spellEnd"/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governance</w:t>
      </w:r>
      <w:proofErr w:type="spellEnd"/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 та набір базових цінностей </w:t>
      </w:r>
      <w:r w:rsidR="003C5EC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B6B36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з належного управління, що потім дістали загального світового визнання</w:t>
      </w:r>
      <w:r w:rsidR="003C2AE5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[1, c.</w:t>
      </w:r>
      <w:r w:rsidR="003C5EC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2AE5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34]</w:t>
      </w:r>
      <w:r w:rsidR="00E37D23"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183A32E" w14:textId="61ABFF22" w:rsidR="00F128FD" w:rsidRPr="00E7504F" w:rsidRDefault="00F128FD" w:rsidP="00126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Що стосується національного законодавства, то</w:t>
      </w:r>
      <w:r w:rsidR="003C5EC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як ми вже зазначали</w:t>
      </w:r>
      <w:r w:rsidR="003C5EC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підґрунтям для формування та функціонування управлінської діяльності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Конституція України.</w:t>
      </w:r>
    </w:p>
    <w:p w14:paraId="62181E9C" w14:textId="34798F6D" w:rsidR="00F128FD" w:rsidRPr="00E7504F" w:rsidRDefault="00985CD3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Основного 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акону визначає Українську державу як соціальну, а у ст. 13 зазначено про соціальну спрямованість її еко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номіки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Щодо управлінських аспектів, то основні стратегічні напрями державного управління процесами, які відбуваються 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суспільному житті України, визначено 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Стратегії реформування державного управлінн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України на 2022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2025 р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3C2AE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Кабінет Міністрів України затвердив план заходів з </w:t>
      </w:r>
      <w:r w:rsidR="003C5E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реалізації. 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Було акцентовано увагу на забезпеченні побудови в Україні спроможної сервісної та цифрової економіки. Це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своєю чергою, повинно забезпечувати захист інтересів громадян на основі європейських стандартів та досвіду, оскільки саме на території Європейського Союзу активно впроваджуються технології у сфері </w:t>
      </w:r>
      <w:proofErr w:type="spellStart"/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цифровізації</w:t>
      </w:r>
      <w:proofErr w:type="spellEnd"/>
      <w:r w:rsidR="00F128F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є основою усіх економічних процесів у державі.</w:t>
      </w:r>
    </w:p>
    <w:p w14:paraId="525B2D19" w14:textId="419383CE" w:rsidR="00C673CB" w:rsidRPr="00E7504F" w:rsidRDefault="00F128FD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основна мета Стратегії – формування ефективної системи державного управління, що здатна виробляти і реалізовувати цілісну державну політику, спрямовану на суспільний сталий розвиток та адекватне реагування на внутрішні і зовнішні виклики. </w:t>
      </w:r>
      <w:r w:rsidR="00985CD3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дає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підстави говорити про тісний взаємозв’язок 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гармонійне поєднання соціального та економічного розвитку 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C673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визначає загальний стратегічний курс державної політики загалом</w:t>
      </w:r>
      <w:r w:rsidR="00985CD3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EDDFD8A" w14:textId="7F17A15C" w:rsidR="00985CD3" w:rsidRPr="00E7504F" w:rsidRDefault="00985CD3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Окрім Стратегії, законодавчу базу 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становить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велика кількість 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аконів. Можемо визначити в державному управлінні 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акони України, що визначають організацію роботи органів публічної влади: </w:t>
      </w:r>
    </w:p>
    <w:p w14:paraId="7554485C" w14:textId="26488F15" w:rsidR="00985CD3" w:rsidRPr="00E7504F" w:rsidRDefault="00985CD3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виборче законодавство, зокрема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акони України «Про Центральну виборчу комісію» від 30.06.2004, Виборчий кодекс України від 19.12.2019, «Про вибори народних депутатів України» від 17.11.2011, «Про місцеві вибори» від 14.07.2015; </w:t>
      </w:r>
    </w:p>
    <w:p w14:paraId="3D68D839" w14:textId="4893C0FC" w:rsidR="00985CD3" w:rsidRPr="00E7504F" w:rsidRDefault="00985CD3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законодавство, що визначає загальний правовий статус органів публічної влади, їх структурних підрозділів та посадових осіб, зокрема</w:t>
      </w:r>
      <w:r w:rsidR="004602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акони України «Про державну службу» від 17.11.2011; «Про службу в органах місцевого самоврядування» від 07.06.2001; «Про статус народного депутата України 17.11.1992; «Про місцеві державні адміністрації» від 09.04.1999 тощо</w:t>
      </w:r>
      <w:r w:rsidR="005E47BA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A3BE4A3" w14:textId="674F64F2" w:rsidR="00985CD3" w:rsidRPr="00E7504F" w:rsidRDefault="00985CD3" w:rsidP="0012654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7504F">
        <w:rPr>
          <w:color w:val="000000" w:themeColor="text1"/>
          <w:sz w:val="28"/>
          <w:szCs w:val="28"/>
          <w:lang w:val="uk-UA"/>
        </w:rPr>
        <w:t>- законодавство, що визначає окремі аспекти організації роботи органів публічної влади, зокрема</w:t>
      </w:r>
      <w:r w:rsidR="00460209">
        <w:rPr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color w:val="000000" w:themeColor="text1"/>
          <w:sz w:val="28"/>
          <w:szCs w:val="28"/>
          <w:lang w:val="uk-UA"/>
        </w:rPr>
        <w:t>Регламент Верховної Ради України від 10.02.2010; Закон України «Про державну охорону органів державної влади і посадових осіб» від 04.03.1998.</w:t>
      </w:r>
    </w:p>
    <w:p w14:paraId="66BF2A90" w14:textId="626C8553" w:rsidR="00985CD3" w:rsidRPr="00E7504F" w:rsidRDefault="00985CD3" w:rsidP="0012654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7504F">
        <w:rPr>
          <w:color w:val="000000" w:themeColor="text1"/>
          <w:sz w:val="28"/>
          <w:szCs w:val="28"/>
          <w:lang w:val="uk-UA"/>
        </w:rPr>
        <w:t>Підзаконні нормативні акти, що визначають статус і порядок роботи органів публічної влади та їх</w:t>
      </w:r>
      <w:r w:rsidR="00460209">
        <w:rPr>
          <w:color w:val="000000" w:themeColor="text1"/>
          <w:sz w:val="28"/>
          <w:szCs w:val="28"/>
          <w:lang w:val="uk-UA"/>
        </w:rPr>
        <w:t>ніх</w:t>
      </w:r>
      <w:r w:rsidRPr="00E7504F">
        <w:rPr>
          <w:color w:val="000000" w:themeColor="text1"/>
          <w:sz w:val="28"/>
          <w:szCs w:val="28"/>
          <w:lang w:val="uk-UA"/>
        </w:rPr>
        <w:t xml:space="preserve"> структурних підрозділів: укази Президента </w:t>
      </w:r>
      <w:r w:rsidRPr="00E7504F">
        <w:rPr>
          <w:color w:val="000000" w:themeColor="text1"/>
          <w:sz w:val="28"/>
          <w:szCs w:val="28"/>
          <w:lang w:val="uk-UA"/>
        </w:rPr>
        <w:lastRenderedPageBreak/>
        <w:t>України, зокрема «Про затвердження Положення про порядок роботи з законопроектами та іншими документами, що вносяться Президентом України на розгляд Верховної Ради України», «Про затвердження Положення про Адміністрацію Президента України» та ін.;</w:t>
      </w:r>
      <w:r w:rsidR="003409A7" w:rsidRPr="00E7504F">
        <w:rPr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color w:val="000000" w:themeColor="text1"/>
          <w:sz w:val="28"/>
          <w:szCs w:val="28"/>
          <w:lang w:val="uk-UA"/>
        </w:rPr>
        <w:t>постанови Кабінету Міністрів України</w:t>
      </w:r>
      <w:r w:rsidR="003409A7" w:rsidRPr="00E7504F">
        <w:rPr>
          <w:color w:val="000000" w:themeColor="text1"/>
          <w:sz w:val="28"/>
          <w:szCs w:val="28"/>
          <w:lang w:val="uk-UA"/>
        </w:rPr>
        <w:t xml:space="preserve">; </w:t>
      </w:r>
      <w:r w:rsidRPr="00E7504F">
        <w:rPr>
          <w:color w:val="000000" w:themeColor="text1"/>
          <w:sz w:val="28"/>
          <w:szCs w:val="28"/>
          <w:lang w:val="uk-UA"/>
        </w:rPr>
        <w:t>акти центральних органів виконавчої влади, що регламентують організаційні питання внутрішньовідо</w:t>
      </w:r>
      <w:r w:rsidR="003409A7" w:rsidRPr="00E7504F">
        <w:rPr>
          <w:color w:val="000000" w:themeColor="text1"/>
          <w:sz w:val="28"/>
          <w:szCs w:val="28"/>
          <w:lang w:val="uk-UA"/>
        </w:rPr>
        <w:t>мчого та міжвідомчого характеру;</w:t>
      </w:r>
      <w:r w:rsidRPr="00E7504F">
        <w:rPr>
          <w:color w:val="000000" w:themeColor="text1"/>
          <w:sz w:val="28"/>
          <w:szCs w:val="28"/>
          <w:lang w:val="uk-UA"/>
        </w:rPr>
        <w:t xml:space="preserve"> акти місцевих органів публічної влади, наприклад</w:t>
      </w:r>
      <w:r w:rsidR="00460209">
        <w:rPr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color w:val="000000" w:themeColor="text1"/>
          <w:sz w:val="28"/>
          <w:szCs w:val="28"/>
          <w:lang w:val="uk-UA"/>
        </w:rPr>
        <w:t>регламенти місцевих рад та місцевих державних адміністрацій, положення про структурні підрозділи виконкомів місцевих рад, положення про відділи та управління місцевих державних адміністрацій</w:t>
      </w:r>
      <w:r w:rsidR="00460209">
        <w:rPr>
          <w:color w:val="000000" w:themeColor="text1"/>
          <w:sz w:val="28"/>
          <w:szCs w:val="28"/>
          <w:lang w:val="uk-UA"/>
        </w:rPr>
        <w:t xml:space="preserve"> </w:t>
      </w:r>
      <w:r w:rsidR="003409A7" w:rsidRPr="00E7504F">
        <w:rPr>
          <w:color w:val="000000" w:themeColor="text1"/>
          <w:sz w:val="28"/>
          <w:szCs w:val="28"/>
          <w:lang w:val="uk-UA"/>
        </w:rPr>
        <w:t>тощо.</w:t>
      </w:r>
    </w:p>
    <w:p w14:paraId="4ED0BF23" w14:textId="57EBD2B6" w:rsidR="003409A7" w:rsidRPr="00E7504F" w:rsidRDefault="003409A7" w:rsidP="0012654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7504F">
        <w:rPr>
          <w:color w:val="000000" w:themeColor="text1"/>
          <w:sz w:val="28"/>
          <w:szCs w:val="28"/>
          <w:lang w:val="uk-UA"/>
        </w:rPr>
        <w:t>Певною особливістю вітчизняного законодавства у сфері державного управління є наявність типових нормативних актів, тобто правових документів, які регламентують організаційні питання діяльності однорідних органів публічної влади та їх</w:t>
      </w:r>
      <w:r w:rsidR="00460209">
        <w:rPr>
          <w:color w:val="000000" w:themeColor="text1"/>
          <w:sz w:val="28"/>
          <w:szCs w:val="28"/>
          <w:lang w:val="uk-UA"/>
        </w:rPr>
        <w:t>ніх</w:t>
      </w:r>
      <w:r w:rsidRPr="00E7504F">
        <w:rPr>
          <w:color w:val="000000" w:themeColor="text1"/>
          <w:sz w:val="28"/>
          <w:szCs w:val="28"/>
          <w:lang w:val="uk-UA"/>
        </w:rPr>
        <w:t xml:space="preserve"> посадових осіб</w:t>
      </w:r>
      <w:r w:rsidR="00460209">
        <w:rPr>
          <w:color w:val="000000" w:themeColor="text1"/>
          <w:sz w:val="28"/>
          <w:szCs w:val="28"/>
          <w:lang w:val="uk-UA"/>
        </w:rPr>
        <w:t>, н</w:t>
      </w:r>
      <w:r w:rsidRPr="00E7504F">
        <w:rPr>
          <w:color w:val="000000" w:themeColor="text1"/>
          <w:sz w:val="28"/>
          <w:szCs w:val="28"/>
          <w:lang w:val="uk-UA"/>
        </w:rPr>
        <w:t>априклад</w:t>
      </w:r>
      <w:r w:rsidR="00460209">
        <w:rPr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color w:val="000000" w:themeColor="text1"/>
          <w:sz w:val="28"/>
          <w:szCs w:val="28"/>
          <w:lang w:val="uk-UA"/>
        </w:rPr>
        <w:t>Типове положення про службу охорони праці та ін. Прийняття таких актів спрямоване на забезпечення однакового вирішення найбільш складних організаційних питань, досягнення злагодженості в діях однорідних ланок публічної влади.</w:t>
      </w:r>
    </w:p>
    <w:p w14:paraId="39417FFA" w14:textId="3E17C799" w:rsidR="003409A7" w:rsidRPr="00E7504F" w:rsidRDefault="003409A7" w:rsidP="0012654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7504F">
        <w:rPr>
          <w:color w:val="000000" w:themeColor="text1"/>
          <w:sz w:val="28"/>
          <w:szCs w:val="28"/>
          <w:lang w:val="uk-UA"/>
        </w:rPr>
        <w:t>На нашу думку, важливо також зазначити</w:t>
      </w:r>
      <w:r w:rsidR="000939DE" w:rsidRPr="00E7504F">
        <w:rPr>
          <w:color w:val="000000" w:themeColor="text1"/>
          <w:sz w:val="28"/>
          <w:szCs w:val="28"/>
          <w:lang w:val="uk-UA"/>
        </w:rPr>
        <w:t xml:space="preserve"> про договірні та локальні нормативно-правові акти </w:t>
      </w:r>
      <w:r w:rsidR="00460209">
        <w:rPr>
          <w:color w:val="000000" w:themeColor="text1"/>
          <w:sz w:val="28"/>
          <w:szCs w:val="28"/>
          <w:lang w:val="uk-UA"/>
        </w:rPr>
        <w:t>у</w:t>
      </w:r>
      <w:r w:rsidR="000939DE" w:rsidRPr="00E7504F">
        <w:rPr>
          <w:color w:val="000000" w:themeColor="text1"/>
          <w:sz w:val="28"/>
          <w:szCs w:val="28"/>
          <w:lang w:val="uk-UA"/>
        </w:rPr>
        <w:t xml:space="preserve"> </w:t>
      </w:r>
      <w:r w:rsidR="005E47BA" w:rsidRPr="00E7504F">
        <w:rPr>
          <w:color w:val="000000" w:themeColor="text1"/>
          <w:sz w:val="28"/>
          <w:szCs w:val="28"/>
          <w:lang w:val="uk-UA"/>
        </w:rPr>
        <w:t>сфері управлінської</w:t>
      </w:r>
      <w:r w:rsidR="000939DE" w:rsidRPr="00E7504F">
        <w:rPr>
          <w:color w:val="000000" w:themeColor="text1"/>
          <w:sz w:val="28"/>
          <w:szCs w:val="28"/>
          <w:lang w:val="uk-UA"/>
        </w:rPr>
        <w:t xml:space="preserve"> діяльності.</w:t>
      </w:r>
    </w:p>
    <w:p w14:paraId="20D760A1" w14:textId="556013A6" w:rsidR="000939DE" w:rsidRPr="00E7504F" w:rsidRDefault="00460209" w:rsidP="00126548">
      <w:pPr>
        <w:spacing w:after="0" w:line="360" w:lineRule="auto"/>
        <w:ind w:right="18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Із </w:t>
      </w:r>
      <w:r w:rsidR="000939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прийняттям Закону України «Про колективні договори і угоди» </w:t>
      </w:r>
      <w:r w:rsidR="006A27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01.07.</w:t>
      </w:r>
      <w:r w:rsidR="006F655F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1993 </w:t>
      </w:r>
      <w:r w:rsidR="000939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важ</w:t>
      </w:r>
      <w:r w:rsidR="006F655F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ливими договірними актами у сфері управлінської діяльності</w:t>
      </w:r>
      <w:r w:rsidR="000939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стали генеральна, галузеві та регіональні угоди, які укладаються між профспілками (їх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німи</w:t>
      </w:r>
      <w:r w:rsidR="000939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об’єднаннями), що представляють інтереси найманих працівників, і власниками або їх представниками. Угодами на відповідному рівні (державному, регіональному, галузевому) регулюються основні принципи і норми реалізації соціально-економічної політики</w:t>
      </w:r>
      <w:r w:rsidR="006F655F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управлінської діяльності на підприємстві</w:t>
      </w:r>
      <w:r w:rsidR="000939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трудових відносин щодо зайнятості, гарантій оплати праці, розміру прожиткового мінімуму, режиму роботи і відпочинку, умов охорони праці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939DE" w:rsidRPr="00E75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тощо.</w:t>
      </w:r>
    </w:p>
    <w:p w14:paraId="01A2CCEB" w14:textId="1D9D837D" w:rsidR="00985CD3" w:rsidRPr="00E7504F" w:rsidRDefault="000939DE" w:rsidP="0012654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7504F">
        <w:rPr>
          <w:color w:val="000000" w:themeColor="text1"/>
          <w:sz w:val="28"/>
          <w:szCs w:val="28"/>
          <w:lang w:val="uk-UA"/>
        </w:rPr>
        <w:lastRenderedPageBreak/>
        <w:t xml:space="preserve">На думку Н.О. </w:t>
      </w:r>
      <w:proofErr w:type="spellStart"/>
      <w:r w:rsidRPr="00E7504F">
        <w:rPr>
          <w:color w:val="000000" w:themeColor="text1"/>
          <w:sz w:val="28"/>
          <w:szCs w:val="28"/>
          <w:lang w:val="uk-UA"/>
        </w:rPr>
        <w:t>Брілліантової</w:t>
      </w:r>
      <w:proofErr w:type="spellEnd"/>
      <w:r w:rsidRPr="00E7504F">
        <w:rPr>
          <w:color w:val="000000" w:themeColor="text1"/>
          <w:sz w:val="28"/>
          <w:szCs w:val="28"/>
          <w:lang w:val="uk-UA"/>
        </w:rPr>
        <w:t>, локальні нормативні акти – це юридична форма вираження та закріплення волі рівноправних суб’єктів локального регулювання (трудових колективів, адміністрації підприємств та профспілок), яка заснована на централізованих і галузевих нормативних актах та спрямована на конкретизацію та деталізацію положень цих актів відповідно до специфіки організації виробництва і праці, а також економічних можливостей даного підприємства (об’єднання) [</w:t>
      </w:r>
      <w:r w:rsidR="003C2AE5" w:rsidRPr="00E7504F">
        <w:rPr>
          <w:color w:val="000000" w:themeColor="text1"/>
          <w:sz w:val="28"/>
          <w:szCs w:val="28"/>
          <w:lang w:val="uk-UA"/>
        </w:rPr>
        <w:t xml:space="preserve">4, </w:t>
      </w:r>
      <w:r w:rsidRPr="00E7504F">
        <w:rPr>
          <w:color w:val="000000" w:themeColor="text1"/>
          <w:sz w:val="28"/>
          <w:szCs w:val="28"/>
          <w:lang w:val="uk-UA"/>
        </w:rPr>
        <w:t>c.</w:t>
      </w:r>
      <w:r w:rsidR="00002EEB">
        <w:rPr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color w:val="000000" w:themeColor="text1"/>
          <w:sz w:val="28"/>
          <w:szCs w:val="28"/>
          <w:lang w:val="uk-UA"/>
        </w:rPr>
        <w:t>17]</w:t>
      </w:r>
      <w:r w:rsidR="003C2AE5" w:rsidRPr="00E7504F">
        <w:rPr>
          <w:color w:val="000000" w:themeColor="text1"/>
          <w:sz w:val="28"/>
          <w:szCs w:val="28"/>
          <w:lang w:val="uk-UA"/>
        </w:rPr>
        <w:t>.</w:t>
      </w:r>
    </w:p>
    <w:p w14:paraId="5D9C1156" w14:textId="5EC4DEFC" w:rsidR="000939DE" w:rsidRPr="00E7504F" w:rsidRDefault="000939DE" w:rsidP="00126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Особливість зазначених актів, на думку І.С.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Шиткіної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полягає </w:t>
      </w:r>
      <w:r w:rsidR="00002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тому, що вони: засновані на законодавстві й інших правових актах і не можуть їм суперечити; забезпечують виконання законодавства й інших правових актів; ухвалюються в рамках диспозитивного дозволу та не всупереч законодавчій імперативній забороні; ухвалюються компетентними органами управління організації в установленому порядку та не потребують затвердження чи погодження іншими органами, зокрема державного управління; поширюються на всіх суб’єктів, які беруть участь у внутрішніх відносинах організації: органи управління, акціонерів (учасників), працівників, адміністрацію, структурні підрозділи [</w:t>
      </w:r>
      <w:r w:rsidR="003C2AE5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5,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c. 8]</w:t>
      </w:r>
      <w:r w:rsidR="006A27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751F266" w14:textId="3D12A36F" w:rsidR="006A27DE" w:rsidRPr="00E7504F" w:rsidRDefault="00002EEB" w:rsidP="006A2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Підвищення якості державного управління залишається одним із головних завдань, що стоять перед українським суспільством і державою. Історично склалася розгалужена система законодавства, що регулює управлінську діяльність, яка містить у собі великий масив нормативно-правових актів, що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нашу думку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одн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боку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забезпечу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діяльність державного управління на всіх рівнях, а з іншого 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суттєвим недоліком 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іноді при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водить до плутанини на практиці або до неоднакового тлумачення норм права, 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числі й управлінцями.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Однак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одним із найважливіших регуляторів управлінської діяльності незалежно від того, у якій конкретній сфері вона проводиться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організуюча роль права, 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 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норми міжнародного права та національного законодавства відіграють значну роль, допомагаючи функціонально організувати управління складними соціальними 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процесами, сконцентрувати діяльність державного апарату та 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сіх його склад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ників</w:t>
      </w:r>
      <w:r w:rsidR="00FD1BBC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DCD1669" w14:textId="77777777" w:rsidR="006A27DE" w:rsidRPr="00E7504F" w:rsidRDefault="006A27DE" w:rsidP="006A2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E18E71" w14:textId="25334613" w:rsidR="00FA5616" w:rsidRPr="00E7504F" w:rsidRDefault="008A0B48" w:rsidP="006A27D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="00D5597A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ібліографічний список</w:t>
      </w:r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14:paraId="7B2245C9" w14:textId="2A617A99" w:rsidR="003C2AE5" w:rsidRPr="00E7504F" w:rsidRDefault="009A43DA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1.</w:t>
      </w:r>
      <w:r w:rsidR="00D5597A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Державне</w:t>
      </w:r>
      <w:r w:rsidRPr="00E7504F">
        <w:rPr>
          <w:rFonts w:ascii="Times New Roman" w:eastAsia="TimesNewRoman,Bold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підручник 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5597A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2</w:t>
      </w:r>
      <w:r w:rsidR="00D5597A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-х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/ </w:t>
      </w:r>
      <w:r w:rsidR="00D5597A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ред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кол</w:t>
      </w:r>
      <w:proofErr w:type="spellEnd"/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.: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Ковбасюк</w:t>
      </w:r>
      <w:r w:rsidR="00D5597A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Ващенко</w:t>
      </w:r>
      <w:r w:rsidR="00D5597A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Сурмін</w:t>
      </w:r>
      <w:proofErr w:type="spellEnd"/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5597A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иїв 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 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НАДУ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, 2012. 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. 1. 564 </w:t>
      </w:r>
      <w:r w:rsidRPr="00E7504F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CDC2DD2" w14:textId="78A9002B" w:rsidR="003C2AE5" w:rsidRPr="00E7504F" w:rsidRDefault="003C2AE5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>2.</w:t>
      </w:r>
      <w:r w:rsidR="00D5597A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Конституція України від 28 червня 1996 року № 254к/96-ВР. </w:t>
      </w: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Відомості Верховної Ради України.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1996. № 30. Ст. 141. </w:t>
      </w:r>
    </w:p>
    <w:p w14:paraId="55D6D097" w14:textId="54796FD6" w:rsidR="00EA3E36" w:rsidRPr="00E7504F" w:rsidRDefault="003C2AE5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Стратегія реформування державного управління України на 2022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2025 роки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озпорядження Кабінету Міністрів України від 21.07.2021. </w:t>
      </w:r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Офіційний вісник України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2021. №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61. Ст. 3842.</w:t>
      </w:r>
    </w:p>
    <w:p w14:paraId="2D0D2213" w14:textId="7F9404AB" w:rsidR="000939DE" w:rsidRPr="00E7504F" w:rsidRDefault="00EA3E36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Бриллиантова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Н.А.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Локальное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правовое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регулирование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оплаты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труда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рабочих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служащих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автореф. дис. … канд.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12.00.05. Москва, 1986. 27 с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BE0F7FC" w14:textId="6F6A60E2" w:rsidR="00EA3E36" w:rsidRPr="00E7504F" w:rsidRDefault="00EA3E36" w:rsidP="006A27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Шиткина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И.С.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Правовое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регулирование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деятельности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акционерных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обществ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внутренними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локальными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документами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дис. … канд. </w:t>
      </w:r>
      <w:proofErr w:type="spellStart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наук</w:t>
      </w:r>
      <w:r w:rsidR="00D5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39DE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12.00.03. Москва, 1997. 301 с.</w:t>
      </w:r>
    </w:p>
    <w:p w14:paraId="30966A85" w14:textId="77777777" w:rsidR="006A27DE" w:rsidRPr="00E7504F" w:rsidRDefault="006A27DE" w:rsidP="006A27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81406B" w14:textId="136FE866" w:rsidR="00FA5616" w:rsidRPr="00E7504F" w:rsidRDefault="008A0B48" w:rsidP="001265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R</w:t>
      </w:r>
      <w:r w:rsidR="00D5597A"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eferences</w:t>
      </w:r>
      <w:proofErr w:type="spellEnd"/>
      <w:r w:rsidRPr="00E750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14:paraId="1A910305" w14:textId="5DE18845" w:rsidR="00EA3E36" w:rsidRPr="00E7504F" w:rsidRDefault="00EA3E36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1.</w:t>
      </w:r>
      <w:r w:rsidR="00D5597A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Kovbasyuk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U.V. ,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Vashenko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K.O. ,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Surmin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U.P. (2012).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Derzhavne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ypravlinya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. [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Government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].</w:t>
      </w: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Dnipropetrovsk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: NADU [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Ukrainian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].</w:t>
      </w:r>
    </w:p>
    <w:p w14:paraId="482D887E" w14:textId="77777777" w:rsidR="00EA3E36" w:rsidRPr="00E7504F" w:rsidRDefault="00EA3E36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Constitution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Ukraine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254к/96-ВР. (1996,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June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28)</w:t>
      </w:r>
      <w:r w:rsidR="009F6A0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Vidomosti</w:t>
      </w:r>
      <w:proofErr w:type="spellEnd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Verkhovnoyi</w:t>
      </w:r>
      <w:proofErr w:type="spellEnd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Rady</w:t>
      </w:r>
      <w:proofErr w:type="spellEnd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Ukrayiny</w:t>
      </w:r>
      <w:proofErr w:type="spellEnd"/>
      <w:r w:rsidR="009F6A0D"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9F6A0D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30, 141 </w:t>
      </w:r>
      <w:r w:rsidR="009F6A0D"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[</w:t>
      </w:r>
      <w:proofErr w:type="spellStart"/>
      <w:r w:rsidR="009F6A0D"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in</w:t>
      </w:r>
      <w:proofErr w:type="spellEnd"/>
      <w:r w:rsidR="009F6A0D"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6A0D"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Ukrainian</w:t>
      </w:r>
      <w:proofErr w:type="spellEnd"/>
      <w:r w:rsidR="009F6A0D"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].</w:t>
      </w:r>
    </w:p>
    <w:p w14:paraId="15DA3406" w14:textId="77777777" w:rsidR="009F6A0D" w:rsidRPr="00E7504F" w:rsidRDefault="009F6A0D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Order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the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Cabinet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Ministers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Ukraine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Strategy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public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administration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reform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Ukraine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for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2022-2025. (2021,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July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21).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Oficiynyi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Visnyk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Ukrayiny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61, 3842 </w:t>
      </w: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[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Ukrainian</w:t>
      </w:r>
      <w:proofErr w:type="spellEnd"/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>].</w:t>
      </w:r>
    </w:p>
    <w:p w14:paraId="6F0A9362" w14:textId="3035A27F" w:rsidR="0097013A" w:rsidRPr="00E7504F" w:rsidRDefault="0097013A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  <w:lang w:val="uk-UA"/>
        </w:rPr>
        <w:t xml:space="preserve">4.Brilliantova N.A. (1986).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Local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payment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workers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and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>employees</w:t>
      </w:r>
      <w:proofErr w:type="spellEnd"/>
      <w:r w:rsidRPr="00E7504F"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Extended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abstract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candidate’s</w:t>
      </w:r>
      <w:proofErr w:type="spellEnd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thesis</w:t>
      </w:r>
      <w:proofErr w:type="spellEnd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Moskva</w:t>
      </w:r>
      <w:proofErr w:type="spellEnd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proofErr w:type="spellStart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0ACB"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Russian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14:paraId="03C50234" w14:textId="14A7BD67" w:rsidR="00110ACB" w:rsidRPr="00E7504F" w:rsidRDefault="00110ACB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Shitkina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I.</w:t>
      </w:r>
      <w:bookmarkStart w:id="0" w:name="_GoBack"/>
      <w:bookmarkEnd w:id="0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S.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Legal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regulation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joint-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stock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companies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by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internal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local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documents</w:t>
      </w:r>
      <w:proofErr w:type="spellEnd"/>
      <w:r w:rsidRPr="00E7504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Extended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abstract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candidate’s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thesis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Moskva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Russian</w:t>
      </w:r>
      <w:proofErr w:type="spellEnd"/>
      <w:r w:rsidRPr="00E750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14:paraId="37F23213" w14:textId="77777777" w:rsidR="009F6A0D" w:rsidRPr="00E7504F" w:rsidRDefault="009F6A0D" w:rsidP="00126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F6A0D" w:rsidRPr="00E7504F" w:rsidSect="001E790F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2D8"/>
    <w:multiLevelType w:val="hybridMultilevel"/>
    <w:tmpl w:val="3C7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E"/>
    <w:rsid w:val="00002EEB"/>
    <w:rsid w:val="000117D1"/>
    <w:rsid w:val="00011852"/>
    <w:rsid w:val="00012A66"/>
    <w:rsid w:val="00016247"/>
    <w:rsid w:val="00023A3F"/>
    <w:rsid w:val="00053DA7"/>
    <w:rsid w:val="0006262B"/>
    <w:rsid w:val="00066D14"/>
    <w:rsid w:val="000731B5"/>
    <w:rsid w:val="0008151C"/>
    <w:rsid w:val="0008647F"/>
    <w:rsid w:val="00093190"/>
    <w:rsid w:val="00093863"/>
    <w:rsid w:val="000939DE"/>
    <w:rsid w:val="00096432"/>
    <w:rsid w:val="000A1F55"/>
    <w:rsid w:val="000A20F6"/>
    <w:rsid w:val="000A3ADB"/>
    <w:rsid w:val="000C0760"/>
    <w:rsid w:val="000D253B"/>
    <w:rsid w:val="000F15C2"/>
    <w:rsid w:val="000F1957"/>
    <w:rsid w:val="000F25C7"/>
    <w:rsid w:val="000F5C00"/>
    <w:rsid w:val="000F7DB5"/>
    <w:rsid w:val="001010D2"/>
    <w:rsid w:val="0010157A"/>
    <w:rsid w:val="001035A8"/>
    <w:rsid w:val="00104D8F"/>
    <w:rsid w:val="00110ACB"/>
    <w:rsid w:val="0011262E"/>
    <w:rsid w:val="00114B7C"/>
    <w:rsid w:val="001170B9"/>
    <w:rsid w:val="001174B7"/>
    <w:rsid w:val="0012496E"/>
    <w:rsid w:val="00126548"/>
    <w:rsid w:val="00136CE9"/>
    <w:rsid w:val="00152E2D"/>
    <w:rsid w:val="0016291A"/>
    <w:rsid w:val="001816DD"/>
    <w:rsid w:val="001A25AE"/>
    <w:rsid w:val="001C002F"/>
    <w:rsid w:val="001C4B60"/>
    <w:rsid w:val="001D2525"/>
    <w:rsid w:val="001E790F"/>
    <w:rsid w:val="001F7F6D"/>
    <w:rsid w:val="00202346"/>
    <w:rsid w:val="0021509C"/>
    <w:rsid w:val="002354AE"/>
    <w:rsid w:val="002424A0"/>
    <w:rsid w:val="00255FD7"/>
    <w:rsid w:val="00262ECC"/>
    <w:rsid w:val="00270A28"/>
    <w:rsid w:val="00275E3D"/>
    <w:rsid w:val="0028556F"/>
    <w:rsid w:val="00291F46"/>
    <w:rsid w:val="002923BB"/>
    <w:rsid w:val="002A106F"/>
    <w:rsid w:val="002A69C2"/>
    <w:rsid w:val="002B4C8F"/>
    <w:rsid w:val="002B4E11"/>
    <w:rsid w:val="002C661B"/>
    <w:rsid w:val="002D3778"/>
    <w:rsid w:val="002D7FF9"/>
    <w:rsid w:val="002E07F1"/>
    <w:rsid w:val="002F34F5"/>
    <w:rsid w:val="002F36C2"/>
    <w:rsid w:val="002F3712"/>
    <w:rsid w:val="002F603F"/>
    <w:rsid w:val="00314B15"/>
    <w:rsid w:val="003207DF"/>
    <w:rsid w:val="003339AE"/>
    <w:rsid w:val="00337A85"/>
    <w:rsid w:val="003409A7"/>
    <w:rsid w:val="00344439"/>
    <w:rsid w:val="003476C0"/>
    <w:rsid w:val="0035081E"/>
    <w:rsid w:val="0035504E"/>
    <w:rsid w:val="00362C53"/>
    <w:rsid w:val="00394620"/>
    <w:rsid w:val="00395AB5"/>
    <w:rsid w:val="00396281"/>
    <w:rsid w:val="003A2AD4"/>
    <w:rsid w:val="003C2AE5"/>
    <w:rsid w:val="003C5EC5"/>
    <w:rsid w:val="003D0CD1"/>
    <w:rsid w:val="003E3744"/>
    <w:rsid w:val="003E459C"/>
    <w:rsid w:val="003E50A0"/>
    <w:rsid w:val="003F5EED"/>
    <w:rsid w:val="004117B2"/>
    <w:rsid w:val="00412AE3"/>
    <w:rsid w:val="00412F34"/>
    <w:rsid w:val="004169CE"/>
    <w:rsid w:val="004261C0"/>
    <w:rsid w:val="00432A83"/>
    <w:rsid w:val="0044506C"/>
    <w:rsid w:val="00457D7B"/>
    <w:rsid w:val="00460209"/>
    <w:rsid w:val="00472583"/>
    <w:rsid w:val="00472BAC"/>
    <w:rsid w:val="0047583E"/>
    <w:rsid w:val="00480E08"/>
    <w:rsid w:val="004B02A5"/>
    <w:rsid w:val="004B47A0"/>
    <w:rsid w:val="004B4870"/>
    <w:rsid w:val="004B6AA1"/>
    <w:rsid w:val="004C0DE9"/>
    <w:rsid w:val="004C59F4"/>
    <w:rsid w:val="004D5BF2"/>
    <w:rsid w:val="004E1DB0"/>
    <w:rsid w:val="004E4A0D"/>
    <w:rsid w:val="005266C7"/>
    <w:rsid w:val="00543A55"/>
    <w:rsid w:val="00551EAC"/>
    <w:rsid w:val="005631A9"/>
    <w:rsid w:val="00565E2D"/>
    <w:rsid w:val="00566421"/>
    <w:rsid w:val="00572022"/>
    <w:rsid w:val="00573F4F"/>
    <w:rsid w:val="00580E8C"/>
    <w:rsid w:val="00583ACC"/>
    <w:rsid w:val="00586865"/>
    <w:rsid w:val="0059037B"/>
    <w:rsid w:val="0059205C"/>
    <w:rsid w:val="005925D1"/>
    <w:rsid w:val="005A32A1"/>
    <w:rsid w:val="005B3B42"/>
    <w:rsid w:val="005C6050"/>
    <w:rsid w:val="005E47BA"/>
    <w:rsid w:val="005F094A"/>
    <w:rsid w:val="005F4560"/>
    <w:rsid w:val="0060599B"/>
    <w:rsid w:val="00607263"/>
    <w:rsid w:val="00611023"/>
    <w:rsid w:val="00612F82"/>
    <w:rsid w:val="00617E67"/>
    <w:rsid w:val="00626753"/>
    <w:rsid w:val="006326B8"/>
    <w:rsid w:val="00642532"/>
    <w:rsid w:val="00644C5C"/>
    <w:rsid w:val="006453B9"/>
    <w:rsid w:val="00652386"/>
    <w:rsid w:val="00672DA0"/>
    <w:rsid w:val="0067551F"/>
    <w:rsid w:val="006834AC"/>
    <w:rsid w:val="00693517"/>
    <w:rsid w:val="00695084"/>
    <w:rsid w:val="00695C62"/>
    <w:rsid w:val="006A27DE"/>
    <w:rsid w:val="006A5B88"/>
    <w:rsid w:val="006B1F28"/>
    <w:rsid w:val="006B22A3"/>
    <w:rsid w:val="006C367A"/>
    <w:rsid w:val="006C59FF"/>
    <w:rsid w:val="006D76A4"/>
    <w:rsid w:val="006F28D0"/>
    <w:rsid w:val="006F2906"/>
    <w:rsid w:val="006F47B7"/>
    <w:rsid w:val="006F655F"/>
    <w:rsid w:val="006F6E9D"/>
    <w:rsid w:val="00711D51"/>
    <w:rsid w:val="007127CF"/>
    <w:rsid w:val="00722775"/>
    <w:rsid w:val="00722902"/>
    <w:rsid w:val="00737443"/>
    <w:rsid w:val="00740E31"/>
    <w:rsid w:val="0074690B"/>
    <w:rsid w:val="00747513"/>
    <w:rsid w:val="00761863"/>
    <w:rsid w:val="00764594"/>
    <w:rsid w:val="007655B0"/>
    <w:rsid w:val="007663C5"/>
    <w:rsid w:val="00770E76"/>
    <w:rsid w:val="00772A23"/>
    <w:rsid w:val="007746AB"/>
    <w:rsid w:val="0078501F"/>
    <w:rsid w:val="00787A0F"/>
    <w:rsid w:val="00793635"/>
    <w:rsid w:val="00797733"/>
    <w:rsid w:val="007A0FFB"/>
    <w:rsid w:val="007B4F93"/>
    <w:rsid w:val="007C060A"/>
    <w:rsid w:val="007D09BD"/>
    <w:rsid w:val="007D6FFF"/>
    <w:rsid w:val="007F7387"/>
    <w:rsid w:val="00802026"/>
    <w:rsid w:val="008035ED"/>
    <w:rsid w:val="00806416"/>
    <w:rsid w:val="00845028"/>
    <w:rsid w:val="00865559"/>
    <w:rsid w:val="008665AC"/>
    <w:rsid w:val="00884C7C"/>
    <w:rsid w:val="008A0B48"/>
    <w:rsid w:val="008B1B4A"/>
    <w:rsid w:val="008B4F45"/>
    <w:rsid w:val="008C3DDE"/>
    <w:rsid w:val="008E4FBF"/>
    <w:rsid w:val="00901850"/>
    <w:rsid w:val="00903797"/>
    <w:rsid w:val="00907D11"/>
    <w:rsid w:val="00917C08"/>
    <w:rsid w:val="00925BC5"/>
    <w:rsid w:val="009349F8"/>
    <w:rsid w:val="00947885"/>
    <w:rsid w:val="00953548"/>
    <w:rsid w:val="00962222"/>
    <w:rsid w:val="00966E37"/>
    <w:rsid w:val="0096782C"/>
    <w:rsid w:val="0097013A"/>
    <w:rsid w:val="00971A16"/>
    <w:rsid w:val="009745CC"/>
    <w:rsid w:val="009765B5"/>
    <w:rsid w:val="00985CD3"/>
    <w:rsid w:val="00986931"/>
    <w:rsid w:val="00993FCA"/>
    <w:rsid w:val="009953AD"/>
    <w:rsid w:val="009A43DA"/>
    <w:rsid w:val="009B1193"/>
    <w:rsid w:val="009B1770"/>
    <w:rsid w:val="009B79CA"/>
    <w:rsid w:val="009C1B5B"/>
    <w:rsid w:val="009C4416"/>
    <w:rsid w:val="009D059C"/>
    <w:rsid w:val="009D79B5"/>
    <w:rsid w:val="009E136C"/>
    <w:rsid w:val="009E5AA1"/>
    <w:rsid w:val="009F4C4B"/>
    <w:rsid w:val="009F6A0D"/>
    <w:rsid w:val="009F7D14"/>
    <w:rsid w:val="00A00D58"/>
    <w:rsid w:val="00A229D4"/>
    <w:rsid w:val="00A33A7A"/>
    <w:rsid w:val="00A43E04"/>
    <w:rsid w:val="00A44050"/>
    <w:rsid w:val="00A56E24"/>
    <w:rsid w:val="00A744FE"/>
    <w:rsid w:val="00A77948"/>
    <w:rsid w:val="00A815B5"/>
    <w:rsid w:val="00A87EA6"/>
    <w:rsid w:val="00A913A4"/>
    <w:rsid w:val="00A91883"/>
    <w:rsid w:val="00A94C74"/>
    <w:rsid w:val="00AA083D"/>
    <w:rsid w:val="00AE5B47"/>
    <w:rsid w:val="00AF06DD"/>
    <w:rsid w:val="00B02C7F"/>
    <w:rsid w:val="00B0624B"/>
    <w:rsid w:val="00B10253"/>
    <w:rsid w:val="00B172EA"/>
    <w:rsid w:val="00B20866"/>
    <w:rsid w:val="00B22EBF"/>
    <w:rsid w:val="00B238BD"/>
    <w:rsid w:val="00B27EA8"/>
    <w:rsid w:val="00B452AB"/>
    <w:rsid w:val="00B6041D"/>
    <w:rsid w:val="00B9304A"/>
    <w:rsid w:val="00B96F54"/>
    <w:rsid w:val="00BD1610"/>
    <w:rsid w:val="00BD68F9"/>
    <w:rsid w:val="00BE28DA"/>
    <w:rsid w:val="00BE5D93"/>
    <w:rsid w:val="00C14A1B"/>
    <w:rsid w:val="00C157C9"/>
    <w:rsid w:val="00C16591"/>
    <w:rsid w:val="00C1793B"/>
    <w:rsid w:val="00C25B7D"/>
    <w:rsid w:val="00C33CAE"/>
    <w:rsid w:val="00C40B39"/>
    <w:rsid w:val="00C453EF"/>
    <w:rsid w:val="00C5111F"/>
    <w:rsid w:val="00C565C4"/>
    <w:rsid w:val="00C628C4"/>
    <w:rsid w:val="00C673CB"/>
    <w:rsid w:val="00C67780"/>
    <w:rsid w:val="00C74BB5"/>
    <w:rsid w:val="00C83A80"/>
    <w:rsid w:val="00C87C1A"/>
    <w:rsid w:val="00C92D6B"/>
    <w:rsid w:val="00CB73E3"/>
    <w:rsid w:val="00CC0CFA"/>
    <w:rsid w:val="00CD640B"/>
    <w:rsid w:val="00CF0821"/>
    <w:rsid w:val="00D03721"/>
    <w:rsid w:val="00D06E0E"/>
    <w:rsid w:val="00D07A02"/>
    <w:rsid w:val="00D12C05"/>
    <w:rsid w:val="00D1301D"/>
    <w:rsid w:val="00D15452"/>
    <w:rsid w:val="00D20DA3"/>
    <w:rsid w:val="00D21A1A"/>
    <w:rsid w:val="00D23193"/>
    <w:rsid w:val="00D27C55"/>
    <w:rsid w:val="00D33826"/>
    <w:rsid w:val="00D514A6"/>
    <w:rsid w:val="00D524A9"/>
    <w:rsid w:val="00D53585"/>
    <w:rsid w:val="00D5597A"/>
    <w:rsid w:val="00D8587B"/>
    <w:rsid w:val="00DA109F"/>
    <w:rsid w:val="00DB09E4"/>
    <w:rsid w:val="00DB6B36"/>
    <w:rsid w:val="00DC6678"/>
    <w:rsid w:val="00DD532D"/>
    <w:rsid w:val="00DE0756"/>
    <w:rsid w:val="00DE2F42"/>
    <w:rsid w:val="00DE74C2"/>
    <w:rsid w:val="00DF3DAC"/>
    <w:rsid w:val="00E10663"/>
    <w:rsid w:val="00E13BD5"/>
    <w:rsid w:val="00E141D5"/>
    <w:rsid w:val="00E32962"/>
    <w:rsid w:val="00E37D23"/>
    <w:rsid w:val="00E44FFF"/>
    <w:rsid w:val="00E535FA"/>
    <w:rsid w:val="00E5376C"/>
    <w:rsid w:val="00E65BB9"/>
    <w:rsid w:val="00E73DAD"/>
    <w:rsid w:val="00E7504F"/>
    <w:rsid w:val="00E81BC8"/>
    <w:rsid w:val="00E92428"/>
    <w:rsid w:val="00E967D2"/>
    <w:rsid w:val="00EA3E36"/>
    <w:rsid w:val="00EA752F"/>
    <w:rsid w:val="00EB5EE5"/>
    <w:rsid w:val="00EC354E"/>
    <w:rsid w:val="00ED2AEB"/>
    <w:rsid w:val="00EE25B8"/>
    <w:rsid w:val="00EE385C"/>
    <w:rsid w:val="00EF5C96"/>
    <w:rsid w:val="00F128FD"/>
    <w:rsid w:val="00F16DE7"/>
    <w:rsid w:val="00F24702"/>
    <w:rsid w:val="00F272F6"/>
    <w:rsid w:val="00F27F44"/>
    <w:rsid w:val="00F36F10"/>
    <w:rsid w:val="00F51C9C"/>
    <w:rsid w:val="00F621EE"/>
    <w:rsid w:val="00F82F29"/>
    <w:rsid w:val="00F868E9"/>
    <w:rsid w:val="00F9007E"/>
    <w:rsid w:val="00F93E48"/>
    <w:rsid w:val="00FA3652"/>
    <w:rsid w:val="00FA5616"/>
    <w:rsid w:val="00FB5AB6"/>
    <w:rsid w:val="00FC1B65"/>
    <w:rsid w:val="00FC4E1E"/>
    <w:rsid w:val="00FD1BBC"/>
    <w:rsid w:val="00FE07B0"/>
    <w:rsid w:val="00FE2D91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3BB"/>
    <w:pPr>
      <w:bidi/>
      <w:spacing w:after="0" w:line="240" w:lineRule="auto"/>
    </w:pPr>
    <w:rPr>
      <w:sz w:val="20"/>
      <w:szCs w:val="20"/>
      <w:lang w:val="en-US" w:bidi="fa-IR"/>
    </w:rPr>
  </w:style>
  <w:style w:type="character" w:customStyle="1" w:styleId="a4">
    <w:name w:val="Текст сноски Знак"/>
    <w:basedOn w:val="a0"/>
    <w:link w:val="a3"/>
    <w:uiPriority w:val="99"/>
    <w:semiHidden/>
    <w:rsid w:val="002923BB"/>
    <w:rPr>
      <w:sz w:val="20"/>
      <w:szCs w:val="20"/>
      <w:lang w:val="en-US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6D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6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76A4"/>
  </w:style>
  <w:style w:type="paragraph" w:styleId="a5">
    <w:name w:val="Normal (Web)"/>
    <w:basedOn w:val="a"/>
    <w:uiPriority w:val="99"/>
    <w:unhideWhenUsed/>
    <w:rsid w:val="0098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3BB"/>
    <w:pPr>
      <w:bidi/>
      <w:spacing w:after="0" w:line="240" w:lineRule="auto"/>
    </w:pPr>
    <w:rPr>
      <w:sz w:val="20"/>
      <w:szCs w:val="20"/>
      <w:lang w:val="en-US" w:bidi="fa-IR"/>
    </w:rPr>
  </w:style>
  <w:style w:type="character" w:customStyle="1" w:styleId="a4">
    <w:name w:val="Текст сноски Знак"/>
    <w:basedOn w:val="a0"/>
    <w:link w:val="a3"/>
    <w:uiPriority w:val="99"/>
    <w:semiHidden/>
    <w:rsid w:val="002923BB"/>
    <w:rPr>
      <w:sz w:val="20"/>
      <w:szCs w:val="20"/>
      <w:lang w:val="en-US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6D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6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76A4"/>
  </w:style>
  <w:style w:type="paragraph" w:styleId="a5">
    <w:name w:val="Normal (Web)"/>
    <w:basedOn w:val="a"/>
    <w:uiPriority w:val="99"/>
    <w:unhideWhenUsed/>
    <w:rsid w:val="0098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2021-11-02T03:54:00Z</dcterms:created>
  <dcterms:modified xsi:type="dcterms:W3CDTF">2021-11-02T04:08:00Z</dcterms:modified>
</cp:coreProperties>
</file>