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4C29" w14:textId="77777777" w:rsidR="000874BE" w:rsidRPr="001A2387" w:rsidRDefault="000874BE" w:rsidP="000874B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A2387">
        <w:rPr>
          <w:rFonts w:ascii="Times New Roman" w:hAnsi="Times New Roman"/>
          <w:color w:val="000000" w:themeColor="text1"/>
          <w:sz w:val="28"/>
          <w:szCs w:val="28"/>
          <w:lang w:val="uk-UA"/>
        </w:rPr>
        <w:t>УДК</w:t>
      </w:r>
      <w:r w:rsidR="005B7C1F" w:rsidRPr="001A23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658</w:t>
      </w:r>
    </w:p>
    <w:p w14:paraId="1B4B8741" w14:textId="77777777" w:rsidR="000874BE" w:rsidRPr="001A2387" w:rsidRDefault="000874BE" w:rsidP="000874BE">
      <w:pPr>
        <w:spacing w:after="0" w:line="360" w:lineRule="auto"/>
        <w:ind w:firstLine="284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A2387">
        <w:rPr>
          <w:rFonts w:ascii="Times New Roman" w:hAnsi="Times New Roman"/>
          <w:b/>
          <w:sz w:val="28"/>
          <w:szCs w:val="28"/>
          <w:lang w:val="uk-UA"/>
        </w:rPr>
        <w:t>Смирнова Т.А.</w:t>
      </w:r>
    </w:p>
    <w:p w14:paraId="3B909198" w14:textId="77777777" w:rsidR="000874BE" w:rsidRPr="001A2387" w:rsidRDefault="005B7C1F" w:rsidP="000874BE">
      <w:pPr>
        <w:pStyle w:val="a3"/>
        <w:ind w:firstLine="0"/>
        <w:contextualSpacing/>
        <w:jc w:val="right"/>
        <w:rPr>
          <w:i/>
          <w:lang w:val="uk-UA"/>
        </w:rPr>
      </w:pPr>
      <w:r w:rsidRPr="001A2387">
        <w:rPr>
          <w:i/>
          <w:color w:val="000000" w:themeColor="text1"/>
          <w:lang w:val="uk-UA"/>
        </w:rPr>
        <w:t>с</w:t>
      </w:r>
      <w:r w:rsidR="000874BE" w:rsidRPr="001A2387">
        <w:rPr>
          <w:i/>
          <w:color w:val="000000" w:themeColor="text1"/>
          <w:lang w:val="uk-UA"/>
        </w:rPr>
        <w:t>т</w:t>
      </w:r>
      <w:r w:rsidRPr="001A2387">
        <w:rPr>
          <w:i/>
          <w:color w:val="000000" w:themeColor="text1"/>
          <w:lang w:val="uk-UA"/>
        </w:rPr>
        <w:t xml:space="preserve">арший </w:t>
      </w:r>
      <w:r w:rsidR="000874BE" w:rsidRPr="001A2387">
        <w:rPr>
          <w:i/>
          <w:color w:val="000000" w:themeColor="text1"/>
          <w:lang w:val="uk-UA"/>
        </w:rPr>
        <w:t>викл</w:t>
      </w:r>
      <w:r w:rsidRPr="001A2387">
        <w:rPr>
          <w:i/>
          <w:color w:val="000000" w:themeColor="text1"/>
          <w:lang w:val="uk-UA"/>
        </w:rPr>
        <w:t>адач</w:t>
      </w:r>
      <w:r w:rsidR="000874BE" w:rsidRPr="001A2387">
        <w:rPr>
          <w:i/>
          <w:lang w:val="uk-UA"/>
        </w:rPr>
        <w:t xml:space="preserve"> кафедри маркетингу та міжнародного менеджменту</w:t>
      </w:r>
    </w:p>
    <w:p w14:paraId="342E4AE9" w14:textId="77777777" w:rsidR="000874BE" w:rsidRPr="001A2387" w:rsidRDefault="000874BE" w:rsidP="000874BE">
      <w:pPr>
        <w:pStyle w:val="a3"/>
        <w:ind w:firstLine="0"/>
        <w:contextualSpacing/>
        <w:jc w:val="right"/>
        <w:rPr>
          <w:i/>
          <w:lang w:val="uk-UA"/>
        </w:rPr>
      </w:pPr>
      <w:r w:rsidRPr="001A2387">
        <w:rPr>
          <w:i/>
          <w:lang w:val="uk-UA"/>
        </w:rPr>
        <w:t>Дніпровського національного університету імені Олеся Гончара</w:t>
      </w:r>
    </w:p>
    <w:p w14:paraId="206F5FFF" w14:textId="77777777" w:rsidR="00F643F2" w:rsidRPr="001A2387" w:rsidRDefault="00F643F2" w:rsidP="000874BE">
      <w:pPr>
        <w:pStyle w:val="a3"/>
        <w:ind w:firstLine="0"/>
        <w:contextualSpacing/>
        <w:jc w:val="right"/>
        <w:rPr>
          <w:b/>
          <w:color w:val="000000" w:themeColor="text1"/>
          <w:lang w:val="uk-UA"/>
        </w:rPr>
      </w:pPr>
    </w:p>
    <w:p w14:paraId="6EFCAC8D" w14:textId="1C3B0D06" w:rsidR="000874BE" w:rsidRPr="001A2387" w:rsidRDefault="000874BE" w:rsidP="000874BE">
      <w:pPr>
        <w:pStyle w:val="a3"/>
        <w:ind w:firstLine="0"/>
        <w:contextualSpacing/>
        <w:jc w:val="right"/>
        <w:rPr>
          <w:b/>
          <w:color w:val="000000" w:themeColor="text1"/>
          <w:lang w:val="uk-UA"/>
        </w:rPr>
      </w:pPr>
      <w:proofErr w:type="spellStart"/>
      <w:r w:rsidRPr="001A2387">
        <w:rPr>
          <w:b/>
          <w:color w:val="000000" w:themeColor="text1"/>
          <w:lang w:val="uk-UA"/>
        </w:rPr>
        <w:t>Smyrnova</w:t>
      </w:r>
      <w:proofErr w:type="spellEnd"/>
      <w:r w:rsidRPr="001A2387">
        <w:rPr>
          <w:b/>
          <w:color w:val="000000" w:themeColor="text1"/>
          <w:lang w:val="uk-UA"/>
        </w:rPr>
        <w:t xml:space="preserve"> </w:t>
      </w:r>
      <w:proofErr w:type="spellStart"/>
      <w:r w:rsidRPr="001A2387">
        <w:rPr>
          <w:b/>
          <w:color w:val="000000" w:themeColor="text1"/>
          <w:lang w:val="uk-UA"/>
        </w:rPr>
        <w:t>Tetiana</w:t>
      </w:r>
      <w:proofErr w:type="spellEnd"/>
    </w:p>
    <w:p w14:paraId="6E748A3E" w14:textId="77777777" w:rsidR="00007ACE" w:rsidRPr="001A2387" w:rsidRDefault="0028168A" w:rsidP="000874BE">
      <w:pPr>
        <w:pStyle w:val="a3"/>
        <w:ind w:firstLine="0"/>
        <w:contextualSpacing/>
        <w:jc w:val="right"/>
        <w:rPr>
          <w:i/>
          <w:color w:val="000000" w:themeColor="text1"/>
          <w:lang w:val="uk-UA"/>
        </w:rPr>
      </w:pPr>
      <w:proofErr w:type="spellStart"/>
      <w:r w:rsidRPr="001A2387">
        <w:rPr>
          <w:i/>
          <w:color w:val="000000" w:themeColor="text1"/>
          <w:lang w:val="uk-UA"/>
        </w:rPr>
        <w:t>Senior</w:t>
      </w:r>
      <w:proofErr w:type="spellEnd"/>
      <w:r w:rsidRPr="001A2387">
        <w:rPr>
          <w:i/>
          <w:color w:val="000000" w:themeColor="text1"/>
          <w:lang w:val="uk-UA"/>
        </w:rPr>
        <w:t xml:space="preserve"> </w:t>
      </w:r>
      <w:proofErr w:type="spellStart"/>
      <w:r w:rsidRPr="001A2387">
        <w:rPr>
          <w:i/>
          <w:color w:val="000000" w:themeColor="text1"/>
          <w:lang w:val="uk-UA"/>
        </w:rPr>
        <w:t>Lecturer</w:t>
      </w:r>
      <w:proofErr w:type="spellEnd"/>
      <w:r w:rsidR="00007ACE" w:rsidRPr="001A2387">
        <w:rPr>
          <w:i/>
          <w:color w:val="000000" w:themeColor="text1"/>
          <w:lang w:val="uk-UA"/>
        </w:rPr>
        <w:t xml:space="preserve"> </w:t>
      </w:r>
      <w:proofErr w:type="spellStart"/>
      <w:r w:rsidRPr="001A2387">
        <w:rPr>
          <w:i/>
          <w:color w:val="000000" w:themeColor="text1"/>
          <w:lang w:val="uk-UA"/>
        </w:rPr>
        <w:t>Department</w:t>
      </w:r>
      <w:proofErr w:type="spellEnd"/>
      <w:r w:rsidRPr="001A2387">
        <w:rPr>
          <w:i/>
          <w:color w:val="000000" w:themeColor="text1"/>
          <w:lang w:val="uk-UA"/>
        </w:rPr>
        <w:t xml:space="preserve"> </w:t>
      </w:r>
      <w:proofErr w:type="spellStart"/>
      <w:r w:rsidRPr="001A2387">
        <w:rPr>
          <w:i/>
          <w:color w:val="000000" w:themeColor="text1"/>
          <w:lang w:val="uk-UA"/>
        </w:rPr>
        <w:t>of</w:t>
      </w:r>
      <w:proofErr w:type="spellEnd"/>
      <w:r w:rsidRPr="001A2387">
        <w:rPr>
          <w:i/>
          <w:color w:val="000000" w:themeColor="text1"/>
          <w:lang w:val="uk-UA"/>
        </w:rPr>
        <w:t xml:space="preserve"> </w:t>
      </w:r>
      <w:proofErr w:type="spellStart"/>
      <w:r w:rsidRPr="001A2387">
        <w:rPr>
          <w:i/>
          <w:color w:val="000000" w:themeColor="text1"/>
          <w:lang w:val="uk-UA"/>
        </w:rPr>
        <w:t>Marketin</w:t>
      </w:r>
      <w:r w:rsidR="00007ACE" w:rsidRPr="001A2387">
        <w:rPr>
          <w:i/>
          <w:color w:val="000000" w:themeColor="text1"/>
          <w:lang w:val="uk-UA"/>
        </w:rPr>
        <w:t>g</w:t>
      </w:r>
      <w:proofErr w:type="spellEnd"/>
      <w:r w:rsidR="00007ACE" w:rsidRPr="001A2387">
        <w:rPr>
          <w:i/>
          <w:color w:val="000000" w:themeColor="text1"/>
          <w:lang w:val="uk-UA"/>
        </w:rPr>
        <w:t xml:space="preserve"> </w:t>
      </w:r>
      <w:proofErr w:type="spellStart"/>
      <w:r w:rsidR="00007ACE" w:rsidRPr="001A2387">
        <w:rPr>
          <w:i/>
          <w:color w:val="000000" w:themeColor="text1"/>
          <w:lang w:val="uk-UA"/>
        </w:rPr>
        <w:t>and</w:t>
      </w:r>
      <w:proofErr w:type="spellEnd"/>
      <w:r w:rsidR="00007ACE" w:rsidRPr="001A2387">
        <w:rPr>
          <w:i/>
          <w:color w:val="000000" w:themeColor="text1"/>
          <w:lang w:val="uk-UA"/>
        </w:rPr>
        <w:t xml:space="preserve"> </w:t>
      </w:r>
      <w:proofErr w:type="spellStart"/>
      <w:r w:rsidR="00007ACE" w:rsidRPr="001A2387">
        <w:rPr>
          <w:i/>
          <w:color w:val="000000" w:themeColor="text1"/>
          <w:lang w:val="uk-UA"/>
        </w:rPr>
        <w:t>International</w:t>
      </w:r>
      <w:proofErr w:type="spellEnd"/>
      <w:r w:rsidR="00007ACE" w:rsidRPr="001A2387">
        <w:rPr>
          <w:i/>
          <w:color w:val="000000" w:themeColor="text1"/>
          <w:lang w:val="uk-UA"/>
        </w:rPr>
        <w:t xml:space="preserve"> </w:t>
      </w:r>
      <w:proofErr w:type="spellStart"/>
      <w:r w:rsidR="00007ACE" w:rsidRPr="001A2387">
        <w:rPr>
          <w:i/>
          <w:color w:val="000000" w:themeColor="text1"/>
          <w:lang w:val="uk-UA"/>
        </w:rPr>
        <w:t>Management</w:t>
      </w:r>
      <w:proofErr w:type="spellEnd"/>
    </w:p>
    <w:p w14:paraId="07E85175" w14:textId="77777777" w:rsidR="000874BE" w:rsidRPr="001A2387" w:rsidRDefault="00007ACE" w:rsidP="00007ACE">
      <w:pPr>
        <w:spacing w:after="0" w:line="360" w:lineRule="auto"/>
        <w:ind w:firstLine="284"/>
        <w:contextualSpacing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7"/>
          <w:lang w:val="uk-UA" w:eastAsia="ru-RU"/>
        </w:rPr>
      </w:pPr>
      <w:proofErr w:type="spellStart"/>
      <w:r w:rsidRPr="001A2387">
        <w:rPr>
          <w:rFonts w:ascii="Times New Roman" w:eastAsia="Times New Roman" w:hAnsi="Times New Roman"/>
          <w:i/>
          <w:color w:val="000000" w:themeColor="text1"/>
          <w:sz w:val="28"/>
          <w:szCs w:val="27"/>
          <w:lang w:val="uk-UA" w:eastAsia="ru-RU"/>
        </w:rPr>
        <w:t>Oles</w:t>
      </w:r>
      <w:proofErr w:type="spellEnd"/>
      <w:r w:rsidRPr="001A2387">
        <w:rPr>
          <w:rFonts w:ascii="Times New Roman" w:eastAsia="Times New Roman" w:hAnsi="Times New Roman"/>
          <w:i/>
          <w:color w:val="000000" w:themeColor="text1"/>
          <w:sz w:val="28"/>
          <w:szCs w:val="27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i/>
          <w:color w:val="000000" w:themeColor="text1"/>
          <w:sz w:val="28"/>
          <w:szCs w:val="27"/>
          <w:lang w:val="uk-UA" w:eastAsia="ru-RU"/>
        </w:rPr>
        <w:t>Honchar</w:t>
      </w:r>
      <w:proofErr w:type="spellEnd"/>
      <w:r w:rsidRPr="001A2387">
        <w:rPr>
          <w:rFonts w:ascii="Times New Roman" w:eastAsia="Times New Roman" w:hAnsi="Times New Roman"/>
          <w:i/>
          <w:color w:val="000000" w:themeColor="text1"/>
          <w:sz w:val="28"/>
          <w:szCs w:val="27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i/>
          <w:color w:val="000000" w:themeColor="text1"/>
          <w:sz w:val="28"/>
          <w:szCs w:val="27"/>
          <w:lang w:val="uk-UA" w:eastAsia="ru-RU"/>
        </w:rPr>
        <w:t>Dnipro</w:t>
      </w:r>
      <w:proofErr w:type="spellEnd"/>
      <w:r w:rsidRPr="001A2387">
        <w:rPr>
          <w:rFonts w:ascii="Times New Roman" w:eastAsia="Times New Roman" w:hAnsi="Times New Roman"/>
          <w:i/>
          <w:color w:val="000000" w:themeColor="text1"/>
          <w:sz w:val="28"/>
          <w:szCs w:val="27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i/>
          <w:color w:val="000000" w:themeColor="text1"/>
          <w:sz w:val="28"/>
          <w:szCs w:val="27"/>
          <w:lang w:val="uk-UA" w:eastAsia="ru-RU"/>
        </w:rPr>
        <w:t>National</w:t>
      </w:r>
      <w:proofErr w:type="spellEnd"/>
      <w:r w:rsidRPr="001A2387">
        <w:rPr>
          <w:rFonts w:ascii="Times New Roman" w:eastAsia="Times New Roman" w:hAnsi="Times New Roman"/>
          <w:i/>
          <w:color w:val="000000" w:themeColor="text1"/>
          <w:sz w:val="28"/>
          <w:szCs w:val="27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i/>
          <w:color w:val="000000" w:themeColor="text1"/>
          <w:sz w:val="28"/>
          <w:szCs w:val="27"/>
          <w:lang w:val="uk-UA" w:eastAsia="ru-RU"/>
        </w:rPr>
        <w:t>University</w:t>
      </w:r>
      <w:proofErr w:type="spellEnd"/>
    </w:p>
    <w:p w14:paraId="76899C64" w14:textId="77777777" w:rsidR="00007ACE" w:rsidRPr="001A2387" w:rsidRDefault="00007ACE" w:rsidP="00007ACE">
      <w:pPr>
        <w:spacing w:after="0" w:line="360" w:lineRule="auto"/>
        <w:ind w:firstLine="284"/>
        <w:contextualSpacing/>
        <w:jc w:val="right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14:paraId="18418C96" w14:textId="77777777" w:rsidR="000874BE" w:rsidRPr="001A2387" w:rsidRDefault="000874BE" w:rsidP="0028168A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Сучасні тенденції використання цифрових комунікацій підприємствами</w:t>
      </w:r>
    </w:p>
    <w:p w14:paraId="25BB0B78" w14:textId="77777777" w:rsidR="0028168A" w:rsidRPr="001A2387" w:rsidRDefault="0028168A" w:rsidP="0028168A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14:paraId="13B3BE2F" w14:textId="77777777" w:rsidR="000874BE" w:rsidRPr="001A2387" w:rsidRDefault="000874BE" w:rsidP="000874BE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CURRENT TRENDS IN THE USE OF DIGITAL COMMUNICATIONS BY ENTERPRISES</w:t>
      </w:r>
    </w:p>
    <w:p w14:paraId="7193BE67" w14:textId="77777777" w:rsidR="000874BE" w:rsidRPr="001A2387" w:rsidRDefault="000874BE" w:rsidP="000874BE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BFC7180" w14:textId="77777777" w:rsidR="00270D6B" w:rsidRPr="001A2387" w:rsidRDefault="00007AC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АНОТАЦІЯ</w:t>
      </w:r>
    </w:p>
    <w:p w14:paraId="2E9B0D8C" w14:textId="097527F1" w:rsidR="00D60090" w:rsidRPr="001A2387" w:rsidRDefault="00D60090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статті розглянуто сучасн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тенденці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використання цифрових комунікацій підприємствами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зокрема SEO, платної реклами, контент</w:t>
      </w:r>
      <w:r w:rsidR="003017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ів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e-mail</w:t>
      </w:r>
      <w:r w:rsid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комунікацій.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Визначено, що частка електронної торгівлі </w:t>
      </w:r>
      <w:r w:rsid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роздрібній торгівлі країни закономірно зростає з рівнем проникнення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</w:t>
      </w:r>
      <w:r w:rsid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й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-торгівлі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тобто частка покупців країни, які здійснюють протягом р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оку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не менше </w:t>
      </w:r>
      <w:r w:rsid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однієї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покупки в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изначено та доведено, що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-технології</w:t>
      </w:r>
      <w:proofErr w:type="spellEnd"/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набули широкого поширення і продовжують видозмінювати процеси взаємодії клієнта з компанією. Основою цих змін є поява широкого інструментарію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-комунікацій</w:t>
      </w:r>
      <w:proofErr w:type="spellEnd"/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який поступово заміщає традиційні канали комунікацій </w:t>
      </w:r>
      <w:r w:rsid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 клієнтами</w:t>
      </w:r>
      <w:r w:rsid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90D3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підприємства. Особливості сприйняття контенту можуть проявлятися по-різному для різних національностей і верств населення, тому виникає необхідність у вивченні тенденцій. </w:t>
      </w:r>
    </w:p>
    <w:p w14:paraId="0D6389BB" w14:textId="3C1E06AB" w:rsidR="00790D3F" w:rsidRPr="001A2387" w:rsidRDefault="00790D3F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Ключові слова: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цифрові комунікації, контент, контекстна реклама, ефективність,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-ресурси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3EA7848E" w14:textId="77777777" w:rsidR="0028168A" w:rsidRPr="001A2387" w:rsidRDefault="0028168A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3B950936" w14:textId="77777777" w:rsidR="0028168A" w:rsidRPr="001A2387" w:rsidRDefault="00007ACE" w:rsidP="00790D3F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АННОТАЦИЯ</w:t>
      </w:r>
    </w:p>
    <w:p w14:paraId="5F8F3D59" w14:textId="343A650E" w:rsidR="00790D3F" w:rsidRPr="001A2387" w:rsidRDefault="00790D3F" w:rsidP="00790D3F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статье рассмотрены современные тенденции использования цифровых коммуникаций предприятиями, в частности SEO, платной рекламы, контент</w:t>
      </w:r>
      <w:proofErr w:type="spellStart"/>
      <w:r w:rsidR="003017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e-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="00301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коммуникаций. Определено, что доля электронной торговли в розничной торговле страны закономерно возрастает с уровнем проникновения Интернета и </w:t>
      </w:r>
      <w:r w:rsidR="00301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нтернет-торговли, то есть доля покупателей страны, </w:t>
      </w:r>
      <w:r w:rsidR="00301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осуществляют в течение года не менее </w:t>
      </w:r>
      <w:r w:rsidR="00301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покупки в Интернете. </w:t>
      </w:r>
      <w:r w:rsidR="00301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пределен</w:t>
      </w:r>
      <w:r w:rsidR="00301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доказано, что </w:t>
      </w:r>
      <w:proofErr w:type="gramStart"/>
      <w:r w:rsidR="00301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нтернет-технологии</w:t>
      </w:r>
      <w:proofErr w:type="gramEnd"/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получили широкое распространение и продолжают видоизменять процессы взаимодействия клиента с компанией. Основой этих изменений является появление широкого инструментария </w:t>
      </w:r>
      <w:proofErr w:type="gramStart"/>
      <w:r w:rsidR="00301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нтернет-коммуникаций</w:t>
      </w:r>
      <w:proofErr w:type="gramEnd"/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постепенно замещает традиционные каналы коммуникаций с клиентами предприятия. Особенности восприятия контента могут проявляться по-разному для разных национальностей и слоев населения, поэтому возникает необходимость в изучении тенденций.</w:t>
      </w:r>
    </w:p>
    <w:p w14:paraId="15316C48" w14:textId="20A64E54" w:rsidR="00790D3F" w:rsidRPr="001A2387" w:rsidRDefault="00790D3F" w:rsidP="00790D3F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3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Ключевые слова: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цифровые коммуникации, контент, контекстная реклама, эффективность, </w:t>
      </w:r>
      <w:r w:rsidR="00301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нтернет-ресурсы.</w:t>
      </w:r>
    </w:p>
    <w:p w14:paraId="2413BDAE" w14:textId="77777777" w:rsidR="0028168A" w:rsidRPr="003017A9" w:rsidRDefault="0028168A" w:rsidP="00790D3F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60868B" w14:textId="77777777" w:rsidR="00270D6B" w:rsidRPr="001A2387" w:rsidRDefault="00007AC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ANNOTATION</w:t>
      </w:r>
    </w:p>
    <w:p w14:paraId="26163D2B" w14:textId="77777777" w:rsidR="0028168A" w:rsidRPr="001A2387" w:rsidRDefault="0028168A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today's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realities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development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e-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business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has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a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positive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impact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world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economy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accelerates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economic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growth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reduces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inflation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increases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productivity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increases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employment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Internet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commerce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most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developed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countries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with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a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high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level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readiness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for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such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business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(USA,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Hong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Kong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Singapore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EU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countries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).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development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e-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commerce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based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attracting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more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more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users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Internet,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not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surprising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that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share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e-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commerce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turnover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GDP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share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e-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commerce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retail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trade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correlates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with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level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Internet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penetration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Moreover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growth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rate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e-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retail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will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outpace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growth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traditional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forms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retail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which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will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increase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share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online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sales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total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global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retail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article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considers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current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trends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use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digital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communications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enterprises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including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SEO,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paid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advertising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content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e-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mail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communications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determined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that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share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e-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commerce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country's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retail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trade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naturally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increases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with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level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Internet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penetration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Internet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trade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share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buyers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country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who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make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least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1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purchase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Internet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during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year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strategy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states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need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adopt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a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law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online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trading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consider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basic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provisions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for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operation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online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trading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platforms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aggregators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article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also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identifies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proves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that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Internet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technologies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have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become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widespread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continue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change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processes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customer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interaction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with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company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basis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these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changes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emergence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a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wide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toolkit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Internet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communications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which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gradually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replacing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traditional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channels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communication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with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customers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enterprise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basis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tool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Internet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communications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content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profile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articles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Internet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resource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ads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for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paid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search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advertising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video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content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content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e-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mail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newsletters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social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networks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By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analyzing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needs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its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potential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users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company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tries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provide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most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relevant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content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that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would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meet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their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needs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Peculiarities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content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perception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may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manifest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themselves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differently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for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different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nationalities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segments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population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there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a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need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to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study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trends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3E3556B7" w14:textId="2717A8D6" w:rsidR="007B0880" w:rsidRPr="001A2387" w:rsidRDefault="007B0880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Keywords</w:t>
      </w:r>
      <w:proofErr w:type="spellEnd"/>
      <w:r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  <w:r w:rsidR="00E72945"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digital</w:t>
      </w:r>
      <w:proofErr w:type="spellEnd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communications</w:t>
      </w:r>
      <w:proofErr w:type="spellEnd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content</w:t>
      </w:r>
      <w:proofErr w:type="spellEnd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contextual</w:t>
      </w:r>
      <w:proofErr w:type="spellEnd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advertising</w:t>
      </w:r>
      <w:proofErr w:type="spellEnd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effectiveness</w:t>
      </w:r>
      <w:proofErr w:type="spellEnd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internet</w:t>
      </w:r>
      <w:proofErr w:type="spellEnd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resources</w:t>
      </w:r>
      <w:proofErr w:type="spellEnd"/>
      <w:r w:rsidR="00E7294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1F4C77E2" w14:textId="77777777" w:rsidR="0028168A" w:rsidRPr="001A2387" w:rsidRDefault="0028168A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39FE4EE" w14:textId="31DBEDB6" w:rsidR="000874BE" w:rsidRPr="001A2387" w:rsidRDefault="003017A9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Постановка проблеми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у загальному вигляді та її зв’язок із важливими науковими чи практичними завданнями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70D6B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умовах сучасних реалій розвиток електронного бізнесу позитивно впливає на світову економіку, оскільки прискорює економічне зростання, знижує інфляцію, підвищує продуктивність і збільшує зайнятість.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-торгівля</w:t>
      </w:r>
      <w:proofErr w:type="spellEnd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 найбільш розвиненою в країнах, що мають високий рівень готовності до подібного бізнесу (США, Гонконг, Сінгапур, країни ЄС). Розвиток електронної комерції спирається на залучення до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все більшої кількості користувачів, тому не дивно, що частка обороту від електронної торгівлі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ВВП країн і частка електронно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склад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ника у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роздрібній торгівлі корелює з показником рівня проникнення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270D6B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381E5168" w14:textId="21FE9994" w:rsidR="005B6203" w:rsidRPr="001A2387" w:rsidRDefault="003017A9" w:rsidP="00D60090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lastRenderedPageBreak/>
        <w:t>Аналіз останніх досліджень і публікацій</w:t>
      </w:r>
      <w:r w:rsidRPr="00092274">
        <w:rPr>
          <w:rFonts w:ascii="Times New Roman" w:hAnsi="Times New Roman"/>
          <w:sz w:val="28"/>
          <w:szCs w:val="28"/>
          <w:lang w:val="uk-UA"/>
        </w:rPr>
        <w:t>, в яких започатковано розв’язання даної проблеми і на які спирається автор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70D6B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Окремі аспекти дослідження сучасних тенденцій використання цифрових комунікацій підприємствами розкрили у своїх працях вітчизняні дослідники, серед яких</w:t>
      </w:r>
      <w:r w:rsidR="00B230F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="00B230F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Н.М.</w:t>
      </w:r>
      <w:r w:rsidRPr="003017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Васильців</w:t>
      </w:r>
      <w:proofErr w:type="spellEnd"/>
      <w:r w:rsidR="00B230F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О.В.</w:t>
      </w:r>
      <w:r w:rsidRPr="003017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Гуменна</w:t>
      </w:r>
      <w:r w:rsidR="00B230F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Н.І.</w:t>
      </w:r>
      <w:r w:rsidRPr="003017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Дрокіна</w:t>
      </w:r>
      <w:proofErr w:type="spellEnd"/>
      <w:r w:rsidR="00B230F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О.С.</w:t>
      </w:r>
      <w:r w:rsidRPr="003017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Тєлєтов</w:t>
      </w:r>
      <w:proofErr w:type="spellEnd"/>
      <w:r w:rsidR="00B230F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Н.В.</w:t>
      </w:r>
      <w:r w:rsidRPr="003017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Івашова</w:t>
      </w:r>
      <w:proofErr w:type="spellEnd"/>
      <w:r w:rsidR="00B230F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ін.</w:t>
      </w:r>
      <w:r w:rsidR="00B230FE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E25DF8A" w14:textId="42EB2D5A" w:rsidR="005B6203" w:rsidRPr="001A2387" w:rsidRDefault="003017A9" w:rsidP="00270D6B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Виділення невирішених раніше частин загальної проблеми</w:t>
      </w:r>
      <w:r w:rsidRPr="00092274">
        <w:rPr>
          <w:rFonts w:ascii="Times New Roman" w:hAnsi="Times New Roman"/>
          <w:sz w:val="28"/>
          <w:szCs w:val="28"/>
          <w:lang w:val="uk-UA"/>
        </w:rPr>
        <w:t>, котрим присвячується означена стаття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B620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Водночас </w:t>
      </w:r>
      <w:r w:rsidR="00934D9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актуальне питання стосовно</w:t>
      </w:r>
      <w:r w:rsidR="005B620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34D9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аналізу ефективності окремих засобів комунікацій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934D9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-комунікацій</w:t>
      </w:r>
      <w:proofErr w:type="spellEnd"/>
      <w:r w:rsidR="005B620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934D9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зокрема SEO, платної реклами, контент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ів</w:t>
      </w:r>
      <w:r w:rsidR="00934D9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e-mail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934D9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комунікацій,</w:t>
      </w:r>
      <w:r w:rsidR="005B620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залишається недостатньо розкрит</w:t>
      </w:r>
      <w:r w:rsidR="00934D9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им</w:t>
      </w:r>
      <w:r w:rsidR="005B620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0DFDAC65" w14:textId="77777777" w:rsidR="005B6203" w:rsidRPr="001A2387" w:rsidRDefault="005B6203" w:rsidP="00270D6B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Формулювання цілей статті</w:t>
      </w:r>
      <w:r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(постановка завдання).</w:t>
      </w:r>
      <w:r w:rsidR="0059082F"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59082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Метою статті є представлення </w:t>
      </w:r>
      <w:r w:rsidR="00AE0CF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сучасних тенденцій використання цифрових комунікацій підприємствами.</w:t>
      </w:r>
    </w:p>
    <w:p w14:paraId="57CB4A86" w14:textId="097A27C9" w:rsidR="000874BE" w:rsidRPr="001A2387" w:rsidRDefault="000051DE" w:rsidP="00AE0CF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 дослідження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повним обґрунтуванням отриманих наукових результатів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B6203" w:rsidRPr="001A23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даними досліджень, проведених компанією </w:t>
      </w:r>
      <w:proofErr w:type="spellStart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Admitad</w:t>
      </w:r>
      <w:proofErr w:type="spellEnd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загальний обсяг світової роздрібної </w:t>
      </w:r>
      <w:proofErr w:type="spellStart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онлайн-торгівлі</w:t>
      </w:r>
      <w:proofErr w:type="spellEnd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452A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сфері В2С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2017 р. досяг 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290 </w:t>
      </w:r>
      <w:proofErr w:type="spellStart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млрд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дол. США, що на 23% більше, ніж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попередньому періоді, при цьому товарообіг В2С </w:t>
      </w:r>
      <w:proofErr w:type="spellStart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онлайн-покупок</w:t>
      </w:r>
      <w:proofErr w:type="spellEnd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2017 р. збільшився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порівняно з 2016 р. на 11% 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становив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143 </w:t>
      </w:r>
      <w:proofErr w:type="spellStart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млрд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дол. [</w:t>
      </w:r>
      <w:r w:rsidR="00C25765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].</w:t>
      </w:r>
    </w:p>
    <w:p w14:paraId="2CF6DA7C" w14:textId="2D085F25" w:rsidR="000874BE" w:rsidRPr="001A2387" w:rsidRDefault="000874B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 В2С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онлайн-покупками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маються на увазі операції з купівлі, що здійснюються як з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онлайн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майданчиків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великих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оффлайн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ритейлерів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так і з сайтів компаній, представлених лише онлайн. Прогнозується, що до 2021 р. обсяг світової роздрібної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онлайн-торгівлі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росте майже вдвічі 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4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479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млрд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дол. США. Причому темпи зростання електронної роздрібної торгівлі випереджати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муть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темпи зростання традиційних форм роздрібної торгівлі, що призведе до збільшення частки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онлайн-продажів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загальному обсязі світової роздрібної торгівлі з 8,7% 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2016 р. і 10,1% 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2017 р. до 15,5% 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2021 р. </w:t>
      </w:r>
    </w:p>
    <w:p w14:paraId="15289ECA" w14:textId="5F63FEFD" w:rsidR="000874BE" w:rsidRPr="001A2387" w:rsidRDefault="00291225" w:rsidP="005B620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-технології</w:t>
      </w:r>
      <w:proofErr w:type="spellEnd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набули широкого поширення і продовжують видозмінювати процеси взаємодії клієнта з компанією. Основою цих змін є поява широкого інструментарію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-комунікацій</w:t>
      </w:r>
      <w:proofErr w:type="spellEnd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який поступово заміщає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традиційні канали комунікацій 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клієнтами підприємства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[2</w:t>
      </w:r>
      <w:r w:rsidR="000051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3]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 Проводячи огляд статистичних даних,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передусім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необхідно звернути увагу на статистику використання інструментів залучення клієнтів як першого е</w:t>
      </w:r>
      <w:r w:rsidR="005B620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тапу «подорожі» клієнта.</w:t>
      </w:r>
    </w:p>
    <w:p w14:paraId="526079C2" w14:textId="563D4CAB" w:rsidR="000874BE" w:rsidRPr="001A2387" w:rsidRDefault="000874B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2017 р. загальні світові витрати</w:t>
      </w:r>
      <w:r w:rsidR="005B620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рекламу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становили </w:t>
      </w:r>
      <w:r w:rsidR="005B620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563,4 </w:t>
      </w:r>
      <w:proofErr w:type="spellStart"/>
      <w:r w:rsidR="005B620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млрд</w:t>
      </w:r>
      <w:proofErr w:type="spellEnd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B620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ол. США. За глобальним прогнозами, витрати на мобільну рекламу в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перевищать рекламу для користувачів ПК в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і, а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-реклама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перевершила телевізійну вже в 2018 р. Глобальне зростання рекламних витрат тримати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меть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ся на рівні 3,8% на тлі обережного короткострокового прогнозу [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].</w:t>
      </w:r>
    </w:p>
    <w:p w14:paraId="5A2BE12A" w14:textId="70BFB812" w:rsidR="000874BE" w:rsidRPr="001A2387" w:rsidRDefault="000874BE" w:rsidP="00BE2748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контексті аналізу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-реклами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слід провести аналіз окремих засобів комунікацій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-комунікацій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Першим важливим засобом є SEO. Дослідження видання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eMarketer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показує, що в 2015 р. 89% SEO-фахівців були задоволені результатами їх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ньої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діяльності щодо поліпшення видимості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-ресурсу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пошуку, його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трафіку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 генерації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лідів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Понад 7 з 10 опитаних виданням [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]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казали, що вони відчувають поліпшення ефективності їх SEO-просування. Згідно зі статистикою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eMarketer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сегменті малого бізнесу тільки 10%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сіх підприємств оновлюють інформацію на власному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-ресурсі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раз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тиждень, 33%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раз на мі</w:t>
      </w:r>
      <w:r w:rsidR="00BE2748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сяць, 21%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="00BE2748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раз на рік і рідше.</w:t>
      </w:r>
    </w:p>
    <w:p w14:paraId="6069F25B" w14:textId="06359457" w:rsidR="000874BE" w:rsidRPr="001A2387" w:rsidRDefault="000874B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Доцільно розглянути статистику ефективності другого інструменту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-комунікацій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платної реклами. Платна реклама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дає змогу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показати оголошення саме тим клієнтам, яким це потрібно, коли це ефективно і на тій платформі або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-ресурсі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на якому вони бувають.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Ок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рім того, платна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ошукова реклама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 елемент платної реклами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дає змогу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виводити оголошення над органічно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пошуковою видачею SEO. За даними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Google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підприємства заробляють приблизно 2 долари від 1 витраченого долара на рекламу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AdWords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середньому 41%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кліків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 посиланнях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мережі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Google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припадають на перші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три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платні пошукові оголошення. Для деяких галузей цей показник може доходити до 65%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кліків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[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]. Середня кількість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кліків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платного оголошення, яке знаходиться на першій позиції, становить 7,94% [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].</w:t>
      </w:r>
    </w:p>
    <w:p w14:paraId="5B836EB0" w14:textId="5CEC9920" w:rsidR="000874BE" w:rsidRPr="001A2387" w:rsidRDefault="000874B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Дослідження сприйняття банерної контекстної реклами показало, що лише 2,8% респондентів </w:t>
      </w:r>
      <w:r w:rsidR="00E77A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важають її релевантною. Основою відсутності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кліків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банерної реклами є недовіра до неї BannerSnack. Згідно з дослідженнями підприємства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Adobe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[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], 33% користувачів мережі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77A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важають банерну рекламу неприйнятною. При цьому респонденти у віці від 25 до 34 років </w:t>
      </w:r>
      <w:r w:rsidR="00E77A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здебільшого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ігнорують пошукову і банерну рекламу в соціальних мережах. Також близько 50%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кліків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 банерній рекламі з мобільних платформ є випадковими.</w:t>
      </w:r>
    </w:p>
    <w:p w14:paraId="5C3A49C6" w14:textId="16D0812A" w:rsidR="000874BE" w:rsidRPr="001A2387" w:rsidRDefault="000874B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іншого боку</w:t>
      </w:r>
      <w:r w:rsidR="00E77A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статистика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Wordstream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[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] показує, що 46% користувачів не можуть відрізнити платне пошукове оголошення від органічної видачі. Популярн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ості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наб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уває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відеореклама, яка має 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27 разів більшу статистику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клікабельності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ніж банерна реклама. Отже, платна 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ошукова реклама ефективно працює, а банерна реклама поступово заміщається відеорекламою, оскільки вона має більш інтерактивн</w:t>
      </w:r>
      <w:r w:rsidR="00B5490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характеристику [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].</w:t>
      </w:r>
    </w:p>
    <w:p w14:paraId="432D2A17" w14:textId="08B02C69" w:rsidR="000874BE" w:rsidRPr="001A2387" w:rsidRDefault="000874B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Розглядаючи третин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коштів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-комунікацій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контент, варто згадати, що він стосується кожного інструменту ринкових комунікацій і всіх етапів взаємодії з клієнтом, оскільки за допомогою нього подається інформація, яка впливає на рішення клієнта про покупку. Інститут контенту визначає це поняття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 комунікаційну техніку створення і поширення цінної, релевантної і власника інформації для залучення чітко визначеної аудиторії з метою отримання конверсійно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ї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дії.</w:t>
      </w:r>
    </w:p>
    <w:p w14:paraId="36B4832E" w14:textId="25C47D1A" w:rsidR="00B450B5" w:rsidRPr="001A2387" w:rsidRDefault="000874B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даними ресурсу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MarketingProfs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релевантний контент є основою ефективної тактики SEO. У його звіті подається статистика, що 48% опитаних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-менеджерів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комунікацій 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важають ефективним просування ключових слів і фраз за допомогою частого оновлення контенту на </w:t>
      </w:r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-ресурсах. За даними видання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SearchMetrics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середня кількість ключових слів на сторінці, яка входить 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топ-10 результатів пошуку, збільшилася з 975 до </w:t>
      </w:r>
      <w:r w:rsidR="00310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1 285 і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2014 по 2015 р. Тобто пошукові системи все більшою мірою звертають увагу на відповідність контенту на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-ресурсах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підприємств. </w:t>
      </w:r>
    </w:p>
    <w:p w14:paraId="461958D9" w14:textId="1A21217F" w:rsidR="000874BE" w:rsidRPr="001A2387" w:rsidRDefault="000874BE" w:rsidP="00C2576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Згідно зі статистикою інституту контенту, 86% B2B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менеджерів 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комунікацій і 77% B2C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менеджерів 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комунікацій використовують контент. Згідно зі статистикою видання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Social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Media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Examiner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[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], 45% менеджерів 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комунікацій 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важають ведення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блогу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головною контент-стратегією. Більшість опитаних менеджерів 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комунікацій (69%) збільшил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кількість інформації в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блогах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2018 р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B230F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[5]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55724E34" w14:textId="21A25FC8" w:rsidR="000874BE" w:rsidRPr="001A2387" w:rsidRDefault="000874B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Згідно з дослідженнями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WowMakers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[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11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], 52% менеджерів 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комунікацій 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важають відео ефективним засобом підвищення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впізнаваності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бренду. Використання слова «відео» в розсилці збільшує ймовірність відкриття електронного листа на 19%, згідно з дослідженнями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Syndacast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Додавання відео на посадкову сторінку може збільшити </w:t>
      </w:r>
      <w:proofErr w:type="spellStart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лідогенераціі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80%. Це пов'язано з тим, що користувачі проводять на сторінці в середньому в 2,6 рази більше ча</w:t>
      </w:r>
      <w:r w:rsidR="00ED5A28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су, якщо вона містить відео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1D2F04C6" w14:textId="42B6BBEA" w:rsidR="00B450B5" w:rsidRPr="001A2387" w:rsidRDefault="000874BE" w:rsidP="001D75BB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Тепер розглянемо статистику ефективності e-mail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комунікацій. E-mail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розсилка є одним із засобів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-комунікацій</w:t>
      </w:r>
      <w:proofErr w:type="spellEnd"/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який має високий рівень рентабельності. Так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e-mail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розсилка повертає 43 долари на кожен вкладений у нього долар [</w:t>
      </w:r>
      <w:r w:rsidR="00C668B0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]. За період 2016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2018 рр. середні показники рівня освіти користувачів соціальни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х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мереж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серед тих, хто має вищу освіту, 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становили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76%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серед тих, хто має неповну вищу освіту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70%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 серед тих</w:t>
      </w:r>
      <w:r w:rsidR="00934D9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хто має середню освіту</w:t>
      </w:r>
      <w:r w:rsidR="000071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– </w:t>
      </w:r>
      <w:r w:rsidR="00934D93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70%.</w:t>
      </w:r>
    </w:p>
    <w:p w14:paraId="2FD6D847" w14:textId="049500B8" w:rsidR="000874BE" w:rsidRPr="001A2387" w:rsidRDefault="000071DF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цього дослідження і перспективи подальших розвідок у даному напрямку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9082F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Отже, я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 видно з наведеної статистики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основою будь-якого інструменту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-комунікацій</w:t>
      </w:r>
      <w:proofErr w:type="spellEnd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 контент: профільні статті на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-ресурсі</w:t>
      </w:r>
      <w:proofErr w:type="spellEnd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оголошення для платно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ї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пошукової реклами, </w:t>
      </w:r>
      <w:proofErr w:type="spellStart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відеоконтент</w:t>
      </w:r>
      <w:proofErr w:type="spellEnd"/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контент в e-mail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розсилках або соціальних мережах. Проводячи аналіз потреб своїх потенційних користувачів, підприємство намагається представити найбільш релевантний контент, який</w:t>
      </w:r>
      <w:r w:rsidR="00ED5A28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би задовольнив їхні потреб</w:t>
      </w:r>
      <w:r w:rsidR="001751B6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Особливості сприйняття контенту можуть проявлятися по-різному для різних </w:t>
      </w:r>
      <w:r w:rsidR="001751B6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сегментів ринку, відповідно соціально-культурних характеристик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населення, тому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виникає необхідність у вивченні </w:t>
      </w:r>
      <w:r w:rsidR="001751B6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загальних 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тенденцій, характерних для вітчизняного ринку </w:t>
      </w:r>
      <w:proofErr w:type="spellStart"/>
      <w:r w:rsidR="002912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Інтернет</w:t>
      </w:r>
      <w:r w:rsidR="000874BE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-реклами</w:t>
      </w:r>
      <w:proofErr w:type="spellEnd"/>
      <w:r w:rsidR="001751B6" w:rsidRPr="001A23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6033E60C" w14:textId="77777777" w:rsidR="00007ACE" w:rsidRPr="001A2387" w:rsidRDefault="00007ACE" w:rsidP="000874B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20D346C" w14:textId="513B444E" w:rsidR="000A7993" w:rsidRPr="001A2387" w:rsidRDefault="00007ACE" w:rsidP="00B230FE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2387">
        <w:rPr>
          <w:rFonts w:ascii="Times New Roman" w:hAnsi="Times New Roman"/>
          <w:b/>
          <w:sz w:val="28"/>
          <w:szCs w:val="28"/>
          <w:lang w:val="uk-UA"/>
        </w:rPr>
        <w:t>Б</w:t>
      </w:r>
      <w:r w:rsidR="00ED650A" w:rsidRPr="001A2387">
        <w:rPr>
          <w:rFonts w:ascii="Times New Roman" w:hAnsi="Times New Roman"/>
          <w:b/>
          <w:sz w:val="28"/>
          <w:szCs w:val="28"/>
          <w:lang w:val="uk-UA"/>
        </w:rPr>
        <w:t>ібліографічний список</w:t>
      </w:r>
      <w:r w:rsidRPr="001A2387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0FA0F9D1" w14:textId="77777777" w:rsidR="00ED5A28" w:rsidRPr="001A2387" w:rsidRDefault="00ED5A28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Wоrld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Trаdе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Оrg</w:t>
      </w:r>
      <w:r w:rsidR="00C668B0" w:rsidRPr="001A2387">
        <w:rPr>
          <w:rFonts w:ascii="Times New Roman" w:hAnsi="Times New Roman"/>
          <w:sz w:val="28"/>
          <w:szCs w:val="28"/>
          <w:lang w:val="uk-UA"/>
        </w:rPr>
        <w:t>аnіzаtіоn</w:t>
      </w:r>
      <w:proofErr w:type="spellEnd"/>
      <w:r w:rsidR="00C668B0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668B0" w:rsidRPr="001A2387">
        <w:rPr>
          <w:rFonts w:ascii="Times New Roman" w:hAnsi="Times New Roman"/>
          <w:sz w:val="28"/>
          <w:szCs w:val="28"/>
          <w:lang w:val="uk-UA"/>
        </w:rPr>
        <w:t>Stаtіstісs</w:t>
      </w:r>
      <w:proofErr w:type="spellEnd"/>
      <w:r w:rsidR="00C668B0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68B0" w:rsidRPr="001A2387">
        <w:rPr>
          <w:rFonts w:ascii="Times New Roman" w:hAnsi="Times New Roman"/>
          <w:sz w:val="28"/>
          <w:szCs w:val="28"/>
          <w:lang w:val="uk-UA"/>
        </w:rPr>
        <w:t>dаtаbаsе</w:t>
      </w:r>
      <w:proofErr w:type="spellEnd"/>
      <w:r w:rsidR="00C668B0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A2387">
        <w:rPr>
          <w:rFonts w:ascii="Times New Roman" w:hAnsi="Times New Roman"/>
          <w:sz w:val="28"/>
          <w:szCs w:val="28"/>
          <w:lang w:val="uk-UA"/>
        </w:rPr>
        <w:t xml:space="preserve">URL: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stаt.wtо.оrg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/</w:t>
      </w:r>
      <w:r w:rsidR="00C668B0" w:rsidRPr="001A2387">
        <w:rPr>
          <w:rFonts w:ascii="Times New Roman" w:hAnsi="Times New Roman"/>
          <w:sz w:val="28"/>
          <w:szCs w:val="28"/>
          <w:lang w:val="uk-UA"/>
        </w:rPr>
        <w:t xml:space="preserve"> (дата звернення: 29.09.2021).</w:t>
      </w:r>
    </w:p>
    <w:p w14:paraId="2D9C6D97" w14:textId="69B8352E" w:rsidR="00C668B0" w:rsidRPr="001A2387" w:rsidRDefault="00C668B0" w:rsidP="00B230FE">
      <w:pPr>
        <w:spacing w:after="0" w:line="360" w:lineRule="auto"/>
        <w:ind w:firstLine="284"/>
        <w:contextualSpacing/>
        <w:jc w:val="both"/>
        <w:rPr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Васильців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Н.М. Цифровий маркетинг як складник перспективного напряму розвитку індустрії 4.0. </w:t>
      </w:r>
      <w:r w:rsidRPr="00ED650A">
        <w:rPr>
          <w:rFonts w:ascii="Times New Roman" w:hAnsi="Times New Roman"/>
          <w:i/>
          <w:sz w:val="28"/>
          <w:szCs w:val="28"/>
          <w:lang w:val="uk-UA"/>
        </w:rPr>
        <w:t>Науковий погляд: економіка та управління</w:t>
      </w:r>
      <w:r w:rsidRPr="001A2387">
        <w:rPr>
          <w:rFonts w:ascii="Times New Roman" w:hAnsi="Times New Roman"/>
          <w:sz w:val="28"/>
          <w:szCs w:val="28"/>
          <w:lang w:val="uk-UA"/>
        </w:rPr>
        <w:t>. 2019. № 2. С. 35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>–</w:t>
      </w:r>
      <w:r w:rsidRPr="001A2387">
        <w:rPr>
          <w:rFonts w:ascii="Times New Roman" w:hAnsi="Times New Roman"/>
          <w:sz w:val="28"/>
          <w:szCs w:val="28"/>
          <w:lang w:val="uk-UA"/>
        </w:rPr>
        <w:t>40.</w:t>
      </w:r>
    </w:p>
    <w:p w14:paraId="65250934" w14:textId="26AB0226" w:rsidR="00C668B0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3. Гуменна О.В. Сучасні інструменти цифрового маркетингу в системі інтегрованих маркетингових комунікацій. </w:t>
      </w:r>
      <w:r w:rsidRPr="00ED650A">
        <w:rPr>
          <w:rFonts w:ascii="Times New Roman" w:hAnsi="Times New Roman"/>
          <w:i/>
          <w:sz w:val="28"/>
          <w:szCs w:val="28"/>
          <w:lang w:val="uk-UA"/>
        </w:rPr>
        <w:t xml:space="preserve">Наукові записки </w:t>
      </w:r>
      <w:proofErr w:type="spellStart"/>
      <w:r w:rsidRPr="00ED650A">
        <w:rPr>
          <w:rFonts w:ascii="Times New Roman" w:hAnsi="Times New Roman"/>
          <w:i/>
          <w:sz w:val="28"/>
          <w:szCs w:val="28"/>
          <w:lang w:val="uk-UA"/>
        </w:rPr>
        <w:t>НаУКМА</w:t>
      </w:r>
      <w:proofErr w:type="spellEnd"/>
      <w:r w:rsidRPr="00ED650A">
        <w:rPr>
          <w:rFonts w:ascii="Times New Roman" w:hAnsi="Times New Roman"/>
          <w:i/>
          <w:sz w:val="28"/>
          <w:szCs w:val="28"/>
          <w:lang w:val="uk-UA"/>
        </w:rPr>
        <w:t>.</w:t>
      </w:r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50A">
        <w:rPr>
          <w:rFonts w:ascii="Times New Roman" w:hAnsi="Times New Roman"/>
          <w:i/>
          <w:sz w:val="28"/>
          <w:szCs w:val="28"/>
          <w:lang w:val="uk-UA"/>
        </w:rPr>
        <w:t>Економічні науки</w:t>
      </w:r>
      <w:r w:rsidRPr="001A2387">
        <w:rPr>
          <w:rFonts w:ascii="Times New Roman" w:hAnsi="Times New Roman"/>
          <w:sz w:val="28"/>
          <w:szCs w:val="28"/>
          <w:lang w:val="uk-UA"/>
        </w:rPr>
        <w:t>. 2016. Т. 1</w:t>
      </w:r>
      <w:r w:rsidR="00ED650A">
        <w:rPr>
          <w:rFonts w:ascii="Times New Roman" w:hAnsi="Times New Roman"/>
          <w:sz w:val="28"/>
          <w:szCs w:val="28"/>
          <w:lang w:val="uk-UA"/>
        </w:rPr>
        <w:t>. В</w:t>
      </w:r>
      <w:r w:rsidRPr="001A2387">
        <w:rPr>
          <w:rFonts w:ascii="Times New Roman" w:hAnsi="Times New Roman"/>
          <w:sz w:val="28"/>
          <w:szCs w:val="28"/>
          <w:lang w:val="uk-UA"/>
        </w:rPr>
        <w:t>ип. 1. С. 48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>–</w:t>
      </w:r>
      <w:r w:rsidRPr="001A2387">
        <w:rPr>
          <w:rFonts w:ascii="Times New Roman" w:hAnsi="Times New Roman"/>
          <w:sz w:val="28"/>
          <w:szCs w:val="28"/>
          <w:lang w:val="uk-UA"/>
        </w:rPr>
        <w:t>53.</w:t>
      </w:r>
    </w:p>
    <w:p w14:paraId="58DEF771" w14:textId="77777777" w:rsidR="00C668B0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>4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Unіtеd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Nаtіоns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Іndustrіаl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Dеvеlорmеnt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Оrgаnіzаt</w:t>
      </w:r>
      <w:r w:rsidR="0028006D" w:rsidRPr="001A2387">
        <w:rPr>
          <w:rFonts w:ascii="Times New Roman" w:hAnsi="Times New Roman"/>
          <w:sz w:val="28"/>
          <w:szCs w:val="28"/>
          <w:lang w:val="uk-UA"/>
        </w:rPr>
        <w:t>іоn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 xml:space="preserve">. URL: 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www.unіdо.оrg</w:t>
      </w:r>
      <w:proofErr w:type="spellEnd"/>
      <w:r w:rsidR="0090092D" w:rsidRPr="001A2387">
        <w:rPr>
          <w:rFonts w:ascii="Times New Roman" w:hAnsi="Times New Roman"/>
          <w:sz w:val="28"/>
          <w:szCs w:val="28"/>
          <w:lang w:val="uk-UA"/>
        </w:rPr>
        <w:t xml:space="preserve"> (дата звернення: 29.09.2021).</w:t>
      </w:r>
    </w:p>
    <w:p w14:paraId="7CC784EF" w14:textId="77777777" w:rsidR="00ED5A28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>5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Wоrld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Dеvеlорmеnt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Іndісаtоrs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Struсturе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оf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sеrvісе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іmроrts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URL: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wdі.wоrldbаnk.оrg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tаblе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>/4.7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 xml:space="preserve"> (дата звернення: 30.09.2021).</w:t>
      </w:r>
    </w:p>
    <w:p w14:paraId="0D43D1B1" w14:textId="77777777" w:rsidR="00ED5A28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>6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Wоrld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Іnvеstmеnt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Rероrt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2017. URL: httрs://unсtаd.оrg/еn/раgеs/РublісаtіоnWеbflyеr.аsрx?рublісаtіоnіd=1782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 xml:space="preserve"> (дата звернення: 30.09.2021).</w:t>
      </w:r>
    </w:p>
    <w:p w14:paraId="7DD0395B" w14:textId="77777777" w:rsidR="00ED5A28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>7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Unіtеd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nаtіоns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соnfеrеnсе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оn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trаdе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аnd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dеvеlорmеnt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URL: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unсtаdstаt.unсtаd.оrg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wds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RероrtFоldеrs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rероrtFоldеrs.аsрx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?sСS_С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hоsеnLаng=еn</w:t>
      </w:r>
      <w:proofErr w:type="spellEnd"/>
      <w:r w:rsidR="0090092D" w:rsidRPr="001A2387">
        <w:rPr>
          <w:rFonts w:ascii="Times New Roman" w:hAnsi="Times New Roman"/>
          <w:sz w:val="28"/>
          <w:szCs w:val="28"/>
          <w:lang w:val="uk-UA"/>
        </w:rPr>
        <w:t xml:space="preserve"> (дата звернення: 01.10.2021).</w:t>
      </w:r>
    </w:p>
    <w:p w14:paraId="383551E5" w14:textId="77777777" w:rsidR="00ED5A28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>8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Trаnsnаtіоnаl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соrроrаtіоnsіn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vеstmеnt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аnd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dеvеlорmеnt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Unіtеd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Nаtіоns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URL: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unсtаd.оrg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еn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Рublісаt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>іоnsLіbrаry</w:t>
      </w:r>
      <w:proofErr w:type="spellEnd"/>
      <w:r w:rsidR="0090092D"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90092D" w:rsidRPr="001A2387">
        <w:rPr>
          <w:rFonts w:ascii="Times New Roman" w:hAnsi="Times New Roman"/>
          <w:sz w:val="28"/>
          <w:szCs w:val="28"/>
          <w:lang w:val="uk-UA"/>
        </w:rPr>
        <w:t>dіаеіа</w:t>
      </w:r>
      <w:proofErr w:type="spellEnd"/>
      <w:r w:rsidR="0090092D" w:rsidRPr="001A2387">
        <w:rPr>
          <w:rFonts w:ascii="Times New Roman" w:hAnsi="Times New Roman"/>
          <w:sz w:val="28"/>
          <w:szCs w:val="28"/>
          <w:lang w:val="uk-UA"/>
        </w:rPr>
        <w:t>2018d3_еn.рdf (дата звернення: 01.10.2021).</w:t>
      </w:r>
    </w:p>
    <w:p w14:paraId="70937F27" w14:textId="04791EFD" w:rsidR="00ED5A28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>9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Дрокіна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Н.І. Методичний підхід до оцінки комунікаційної системи 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 xml:space="preserve">підприємств. </w:t>
      </w:r>
      <w:r w:rsidR="00ED5A28" w:rsidRPr="00ED650A">
        <w:rPr>
          <w:rFonts w:ascii="Times New Roman" w:hAnsi="Times New Roman"/>
          <w:i/>
          <w:sz w:val="28"/>
          <w:szCs w:val="28"/>
          <w:lang w:val="uk-UA"/>
        </w:rPr>
        <w:t>Економіка промисловості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>. 2016. №</w:t>
      </w:r>
      <w:r w:rsidR="00ED6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>3</w:t>
      </w:r>
      <w:r w:rsidR="00ED650A">
        <w:rPr>
          <w:rFonts w:ascii="Times New Roman" w:hAnsi="Times New Roman"/>
          <w:sz w:val="28"/>
          <w:szCs w:val="28"/>
          <w:lang w:val="uk-UA"/>
        </w:rPr>
        <w:t>–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>4(59</w:t>
      </w:r>
      <w:r w:rsidR="00ED650A">
        <w:rPr>
          <w:rFonts w:ascii="Times New Roman" w:hAnsi="Times New Roman"/>
          <w:sz w:val="28"/>
          <w:szCs w:val="28"/>
          <w:lang w:val="uk-UA"/>
        </w:rPr>
        <w:t>–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>60). С. 291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>–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>300.</w:t>
      </w:r>
    </w:p>
    <w:p w14:paraId="6581E783" w14:textId="77777777" w:rsidR="00C668B0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>10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Zerfass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, A.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Innovation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Leadership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Developments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Strategic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Journal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Strategic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092D" w:rsidRPr="001A2387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="0090092D" w:rsidRPr="001A2387">
        <w:rPr>
          <w:rFonts w:ascii="Times New Roman" w:hAnsi="Times New Roman"/>
          <w:sz w:val="28"/>
          <w:szCs w:val="28"/>
          <w:lang w:val="uk-UA"/>
        </w:rPr>
        <w:t xml:space="preserve">. 2014. № 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>2. Р. 107–122.</w:t>
      </w:r>
    </w:p>
    <w:p w14:paraId="439B7F9B" w14:textId="77777777" w:rsidR="00C25765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lastRenderedPageBreak/>
        <w:t>11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25765" w:rsidRPr="001A2387">
        <w:rPr>
          <w:rFonts w:ascii="Times New Roman" w:hAnsi="Times New Roman"/>
          <w:sz w:val="28"/>
          <w:szCs w:val="28"/>
          <w:lang w:val="uk-UA"/>
        </w:rPr>
        <w:t>Wоrld</w:t>
      </w:r>
      <w:proofErr w:type="spellEnd"/>
      <w:r w:rsidR="00C25765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5765" w:rsidRPr="001A2387">
        <w:rPr>
          <w:rFonts w:ascii="Times New Roman" w:hAnsi="Times New Roman"/>
          <w:sz w:val="28"/>
          <w:szCs w:val="28"/>
          <w:lang w:val="uk-UA"/>
        </w:rPr>
        <w:t>Есоnоmіс</w:t>
      </w:r>
      <w:proofErr w:type="spellEnd"/>
      <w:r w:rsidR="00C25765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5765" w:rsidRPr="001A2387">
        <w:rPr>
          <w:rFonts w:ascii="Times New Roman" w:hAnsi="Times New Roman"/>
          <w:sz w:val="28"/>
          <w:szCs w:val="28"/>
          <w:lang w:val="uk-UA"/>
        </w:rPr>
        <w:t>Fоrum</w:t>
      </w:r>
      <w:proofErr w:type="spellEnd"/>
      <w:r w:rsidR="00C25765" w:rsidRPr="001A2387">
        <w:rPr>
          <w:rFonts w:ascii="Times New Roman" w:hAnsi="Times New Roman"/>
          <w:sz w:val="28"/>
          <w:szCs w:val="28"/>
          <w:lang w:val="uk-UA"/>
        </w:rPr>
        <w:t>.</w:t>
      </w:r>
      <w:r w:rsidR="002E38DD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765" w:rsidRPr="001A2387">
        <w:rPr>
          <w:rFonts w:ascii="Times New Roman" w:hAnsi="Times New Roman"/>
          <w:sz w:val="28"/>
          <w:szCs w:val="28"/>
          <w:lang w:val="uk-UA"/>
        </w:rPr>
        <w:t xml:space="preserve">URL: </w:t>
      </w:r>
      <w:proofErr w:type="spellStart"/>
      <w:r w:rsidR="00C25765"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="00C25765"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="00C25765" w:rsidRPr="001A2387">
        <w:rPr>
          <w:rFonts w:ascii="Times New Roman" w:hAnsi="Times New Roman"/>
          <w:sz w:val="28"/>
          <w:szCs w:val="28"/>
          <w:lang w:val="uk-UA"/>
        </w:rPr>
        <w:t>www.wеfоrum.оrg</w:t>
      </w:r>
      <w:proofErr w:type="spellEnd"/>
      <w:r w:rsidR="00C25765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>(дата звернення: 02.10.2021).</w:t>
      </w:r>
    </w:p>
    <w:p w14:paraId="3F7B302E" w14:textId="77777777" w:rsidR="00ED5A28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>12</w:t>
      </w:r>
      <w:r w:rsidR="00C25765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D5A28" w:rsidRPr="001A2387">
        <w:rPr>
          <w:rFonts w:ascii="Times New Roman" w:hAnsi="Times New Roman"/>
          <w:sz w:val="28"/>
          <w:szCs w:val="28"/>
          <w:lang w:val="uk-UA"/>
        </w:rPr>
        <w:t>Тєлєтов</w:t>
      </w:r>
      <w:proofErr w:type="spellEnd"/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О.С.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0092D" w:rsidRPr="001A2387">
        <w:rPr>
          <w:rFonts w:ascii="Times New Roman" w:hAnsi="Times New Roman"/>
          <w:sz w:val="28"/>
          <w:szCs w:val="28"/>
          <w:lang w:val="uk-UA"/>
        </w:rPr>
        <w:t>Івашова</w:t>
      </w:r>
      <w:proofErr w:type="spellEnd"/>
      <w:r w:rsidR="0090092D" w:rsidRPr="001A2387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 Оцінка якості комунікацій промислових підприємств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D5A28" w:rsidRPr="00ED650A">
        <w:rPr>
          <w:rFonts w:ascii="Times New Roman" w:hAnsi="Times New Roman"/>
          <w:i/>
          <w:sz w:val="28"/>
          <w:szCs w:val="28"/>
          <w:lang w:val="uk-UA"/>
        </w:rPr>
        <w:t>Маркетинг в Україні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 xml:space="preserve">2013. 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>№ 4. С. 17</w:t>
      </w:r>
      <w:r w:rsidR="0090092D" w:rsidRPr="001A2387">
        <w:rPr>
          <w:rFonts w:ascii="Times New Roman" w:hAnsi="Times New Roman"/>
          <w:sz w:val="28"/>
          <w:szCs w:val="28"/>
          <w:lang w:val="uk-UA"/>
        </w:rPr>
        <w:t>–</w:t>
      </w:r>
      <w:r w:rsidR="00ED5A28" w:rsidRPr="001A2387">
        <w:rPr>
          <w:rFonts w:ascii="Times New Roman" w:hAnsi="Times New Roman"/>
          <w:sz w:val="28"/>
          <w:szCs w:val="28"/>
          <w:lang w:val="uk-UA"/>
        </w:rPr>
        <w:t>21.</w:t>
      </w:r>
    </w:p>
    <w:p w14:paraId="73F42A80" w14:textId="77777777" w:rsidR="00ED5A28" w:rsidRPr="001A2387" w:rsidRDefault="00ED5A28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0F6FE0" w14:textId="51E2A96D" w:rsidR="00ED5A28" w:rsidRPr="001A2387" w:rsidRDefault="00007ACE" w:rsidP="00B230FE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A2387">
        <w:rPr>
          <w:rFonts w:ascii="Times New Roman" w:hAnsi="Times New Roman"/>
          <w:b/>
          <w:sz w:val="28"/>
          <w:szCs w:val="28"/>
          <w:lang w:val="uk-UA"/>
        </w:rPr>
        <w:t>R</w:t>
      </w:r>
      <w:r w:rsidR="00ED650A" w:rsidRPr="001A2387">
        <w:rPr>
          <w:rFonts w:ascii="Times New Roman" w:hAnsi="Times New Roman"/>
          <w:b/>
          <w:sz w:val="28"/>
          <w:szCs w:val="28"/>
          <w:lang w:val="uk-UA"/>
        </w:rPr>
        <w:t>eferences</w:t>
      </w:r>
      <w:proofErr w:type="spellEnd"/>
      <w:r w:rsidRPr="001A2387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6043DC7C" w14:textId="77777777" w:rsidR="00C668B0" w:rsidRPr="001A2387" w:rsidRDefault="00C668B0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Wоrld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Trаdе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Оrgаnіzаtіоn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Stаtіstісs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dаtаbа</w:t>
      </w:r>
      <w:bookmarkStart w:id="0" w:name="_GoBack"/>
      <w:bookmarkEnd w:id="0"/>
      <w:r w:rsidR="0028006D" w:rsidRPr="001A2387">
        <w:rPr>
          <w:rFonts w:ascii="Times New Roman" w:hAnsi="Times New Roman"/>
          <w:sz w:val="28"/>
          <w:szCs w:val="28"/>
          <w:lang w:val="uk-UA"/>
        </w:rPr>
        <w:t>sе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Available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stаt.wtо.оrg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>/ (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accessed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 xml:space="preserve"> 29 </w:t>
      </w:r>
      <w:proofErr w:type="spellStart"/>
      <w:r w:rsidR="0028006D" w:rsidRPr="001A2387">
        <w:rPr>
          <w:rFonts w:ascii="Times New Roman" w:hAnsi="Times New Roman"/>
          <w:sz w:val="28"/>
          <w:szCs w:val="28"/>
          <w:lang w:val="uk-UA"/>
        </w:rPr>
        <w:t>September</w:t>
      </w:r>
      <w:proofErr w:type="spellEnd"/>
      <w:r w:rsidR="0028006D" w:rsidRPr="001A2387">
        <w:rPr>
          <w:rFonts w:ascii="Times New Roman" w:hAnsi="Times New Roman"/>
          <w:sz w:val="28"/>
          <w:szCs w:val="28"/>
          <w:lang w:val="uk-UA"/>
        </w:rPr>
        <w:t xml:space="preserve"> 2021).</w:t>
      </w:r>
    </w:p>
    <w:p w14:paraId="266E617B" w14:textId="77777777" w:rsidR="0028006D" w:rsidRPr="001A2387" w:rsidRDefault="0028006D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Vasyl'tsiv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, N. (2019)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Cyfrovyj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marketyngh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jak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skladnyk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perspektyvnogho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naprjamu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rozvytku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industriji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4.0 [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Digital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marketing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component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promising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direction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industry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4.0].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Scientific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view</w:t>
      </w:r>
      <w:proofErr w:type="spellEnd"/>
      <w:r w:rsidR="00123902"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economics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management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2,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. 35</w:t>
      </w:r>
      <w:r w:rsidR="002E38DD" w:rsidRPr="001A2387">
        <w:rPr>
          <w:rFonts w:ascii="Times New Roman" w:hAnsi="Times New Roman"/>
          <w:sz w:val="28"/>
          <w:szCs w:val="28"/>
          <w:lang w:val="uk-UA"/>
        </w:rPr>
        <w:t>–</w:t>
      </w:r>
      <w:r w:rsidRPr="001A2387">
        <w:rPr>
          <w:rFonts w:ascii="Times New Roman" w:hAnsi="Times New Roman"/>
          <w:sz w:val="28"/>
          <w:szCs w:val="28"/>
          <w:lang w:val="uk-UA"/>
        </w:rPr>
        <w:t>40.</w:t>
      </w:r>
    </w:p>
    <w:p w14:paraId="739E7CC1" w14:textId="77777777" w:rsidR="0028006D" w:rsidRPr="001A2387" w:rsidRDefault="0028006D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Humenna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, O. (2016),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Suchasni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instrumenty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cyfrovogho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marketynghu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v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systemi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integhrovanykh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marketynghovykh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komunikacij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Modern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digital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marketing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tools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integrated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marketing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communications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].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Scientific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notes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NaUKMA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Economic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sciences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Ekonomichni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nauky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1,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. 48</w:t>
      </w:r>
      <w:r w:rsidR="002E38DD" w:rsidRPr="001A2387">
        <w:rPr>
          <w:rFonts w:ascii="Times New Roman" w:hAnsi="Times New Roman"/>
          <w:sz w:val="28"/>
          <w:szCs w:val="28"/>
          <w:lang w:val="uk-UA"/>
        </w:rPr>
        <w:t>–</w:t>
      </w:r>
      <w:r w:rsidRPr="001A2387">
        <w:rPr>
          <w:rFonts w:ascii="Times New Roman" w:hAnsi="Times New Roman"/>
          <w:sz w:val="28"/>
          <w:szCs w:val="28"/>
          <w:lang w:val="uk-UA"/>
        </w:rPr>
        <w:t>53.</w:t>
      </w:r>
    </w:p>
    <w:p w14:paraId="2224E67C" w14:textId="77777777" w:rsidR="0028006D" w:rsidRPr="001A2387" w:rsidRDefault="0028006D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Unіtеd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Nаtіоns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Іndustrіаl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Dеvеlорmеnt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Оrgаnіzаtіоn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Available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www.unіdо.оrg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accessed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29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September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2021).</w:t>
      </w:r>
    </w:p>
    <w:p w14:paraId="7CAAEBF3" w14:textId="77777777" w:rsidR="0028006D" w:rsidRPr="001A2387" w:rsidRDefault="0028006D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Wоrld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Dеvеlорmеnt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Іndісаtоrs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Struсturе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оf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sеrvісе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іmроrts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Available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wdі.wоrldbаnk.оrg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tаblе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/4.7 (</w:t>
      </w:r>
      <w:proofErr w:type="spellStart"/>
      <w:r w:rsidR="002E38DD" w:rsidRPr="001A2387">
        <w:rPr>
          <w:rFonts w:ascii="Times New Roman" w:hAnsi="Times New Roman"/>
          <w:sz w:val="28"/>
          <w:szCs w:val="28"/>
          <w:lang w:val="uk-UA"/>
        </w:rPr>
        <w:t>accessed</w:t>
      </w:r>
      <w:proofErr w:type="spellEnd"/>
      <w:r w:rsidR="002E38DD" w:rsidRPr="001A2387">
        <w:rPr>
          <w:rFonts w:ascii="Times New Roman" w:hAnsi="Times New Roman"/>
          <w:sz w:val="28"/>
          <w:szCs w:val="28"/>
          <w:lang w:val="uk-UA"/>
        </w:rPr>
        <w:t xml:space="preserve"> 30 </w:t>
      </w:r>
      <w:proofErr w:type="spellStart"/>
      <w:r w:rsidR="002E38DD" w:rsidRPr="001A2387">
        <w:rPr>
          <w:rFonts w:ascii="Times New Roman" w:hAnsi="Times New Roman"/>
          <w:sz w:val="28"/>
          <w:szCs w:val="28"/>
          <w:lang w:val="uk-UA"/>
        </w:rPr>
        <w:t>September</w:t>
      </w:r>
      <w:proofErr w:type="spellEnd"/>
      <w:r w:rsidR="002E38DD" w:rsidRPr="001A238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1A2387">
        <w:rPr>
          <w:rFonts w:ascii="Times New Roman" w:hAnsi="Times New Roman"/>
          <w:sz w:val="28"/>
          <w:szCs w:val="28"/>
          <w:lang w:val="uk-UA"/>
        </w:rPr>
        <w:t>).</w:t>
      </w:r>
    </w:p>
    <w:p w14:paraId="442ABF5D" w14:textId="77777777" w:rsidR="0028006D" w:rsidRPr="001A2387" w:rsidRDefault="0028006D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Wоrld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Іnvеstmеnt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Rероrt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2017.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Available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: httрs://unсtаd.оrg/еn/раgеs/РublісаtіоnWеbflyеr.аsрx?рublісаtіоnіd=1782 (</w:t>
      </w:r>
      <w:proofErr w:type="spellStart"/>
      <w:r w:rsidR="002E38DD" w:rsidRPr="001A2387">
        <w:rPr>
          <w:rFonts w:ascii="Times New Roman" w:hAnsi="Times New Roman"/>
          <w:sz w:val="28"/>
          <w:szCs w:val="28"/>
          <w:lang w:val="uk-UA"/>
        </w:rPr>
        <w:t>accessed</w:t>
      </w:r>
      <w:proofErr w:type="spellEnd"/>
      <w:r w:rsidR="002E38DD" w:rsidRPr="001A2387">
        <w:rPr>
          <w:rFonts w:ascii="Times New Roman" w:hAnsi="Times New Roman"/>
          <w:sz w:val="28"/>
          <w:szCs w:val="28"/>
          <w:lang w:val="uk-UA"/>
        </w:rPr>
        <w:t xml:space="preserve"> 30 </w:t>
      </w:r>
      <w:proofErr w:type="spellStart"/>
      <w:r w:rsidR="002E38DD" w:rsidRPr="001A2387">
        <w:rPr>
          <w:rFonts w:ascii="Times New Roman" w:hAnsi="Times New Roman"/>
          <w:sz w:val="28"/>
          <w:szCs w:val="28"/>
          <w:lang w:val="uk-UA"/>
        </w:rPr>
        <w:t>September</w:t>
      </w:r>
      <w:proofErr w:type="spellEnd"/>
      <w:r w:rsidR="002E38DD" w:rsidRPr="001A238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1A2387">
        <w:rPr>
          <w:rFonts w:ascii="Times New Roman" w:hAnsi="Times New Roman"/>
          <w:sz w:val="28"/>
          <w:szCs w:val="28"/>
          <w:lang w:val="uk-UA"/>
        </w:rPr>
        <w:t>).</w:t>
      </w:r>
    </w:p>
    <w:p w14:paraId="36FC36D1" w14:textId="77777777" w:rsidR="0028006D" w:rsidRPr="001A2387" w:rsidRDefault="0028006D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Unіtеd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nаtіоns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соnfеrеnсе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оn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trаdе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аnd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dеvеlорmеnt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Available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unсtаdstаt.unсtаd.оrg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wds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RероrtFоldеrs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rероrtFоldеrs.аsрx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?sСS_С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hоsеnLаng=еn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2E38DD" w:rsidRPr="001A2387">
        <w:rPr>
          <w:rFonts w:ascii="Times New Roman" w:hAnsi="Times New Roman"/>
          <w:sz w:val="28"/>
          <w:szCs w:val="28"/>
          <w:lang w:val="uk-UA"/>
        </w:rPr>
        <w:t>accessed</w:t>
      </w:r>
      <w:proofErr w:type="spellEnd"/>
      <w:r w:rsidR="002E38DD" w:rsidRPr="001A2387">
        <w:rPr>
          <w:rFonts w:ascii="Times New Roman" w:hAnsi="Times New Roman"/>
          <w:sz w:val="28"/>
          <w:szCs w:val="28"/>
          <w:lang w:val="uk-UA"/>
        </w:rPr>
        <w:t xml:space="preserve"> 1 </w:t>
      </w:r>
      <w:proofErr w:type="spellStart"/>
      <w:r w:rsidR="002E38DD" w:rsidRPr="001A2387">
        <w:rPr>
          <w:rFonts w:ascii="Times New Roman" w:hAnsi="Times New Roman"/>
          <w:sz w:val="28"/>
          <w:szCs w:val="28"/>
          <w:lang w:val="uk-UA"/>
        </w:rPr>
        <w:t>Oktober</w:t>
      </w:r>
      <w:proofErr w:type="spellEnd"/>
      <w:r w:rsidR="002E38DD" w:rsidRPr="001A238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1A2387">
        <w:rPr>
          <w:rFonts w:ascii="Times New Roman" w:hAnsi="Times New Roman"/>
          <w:sz w:val="28"/>
          <w:szCs w:val="28"/>
          <w:lang w:val="uk-UA"/>
        </w:rPr>
        <w:t>).</w:t>
      </w:r>
    </w:p>
    <w:p w14:paraId="04CFB636" w14:textId="77777777" w:rsidR="0028006D" w:rsidRPr="001A2387" w:rsidRDefault="0028006D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Trаnsnаtіоnаl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соrроrаtіоnsіn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vеstmеnt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аnd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dеvеlорmеnt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Unіtеd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Nаtіоns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Available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unсtаd.оrg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еn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РublісаtіоnsLіbrаry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dіаеіа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2018d3_еn.рdf (</w:t>
      </w:r>
      <w:proofErr w:type="spellStart"/>
      <w:r w:rsidR="002E38DD" w:rsidRPr="001A2387">
        <w:rPr>
          <w:rFonts w:ascii="Times New Roman" w:hAnsi="Times New Roman"/>
          <w:sz w:val="28"/>
          <w:szCs w:val="28"/>
          <w:lang w:val="uk-UA"/>
        </w:rPr>
        <w:t>accessed</w:t>
      </w:r>
      <w:proofErr w:type="spellEnd"/>
      <w:r w:rsidR="002E38DD" w:rsidRPr="001A2387">
        <w:rPr>
          <w:rFonts w:ascii="Times New Roman" w:hAnsi="Times New Roman"/>
          <w:sz w:val="28"/>
          <w:szCs w:val="28"/>
          <w:lang w:val="uk-UA"/>
        </w:rPr>
        <w:t xml:space="preserve"> 1 </w:t>
      </w:r>
      <w:proofErr w:type="spellStart"/>
      <w:r w:rsidR="002E38DD" w:rsidRPr="001A2387">
        <w:rPr>
          <w:rFonts w:ascii="Times New Roman" w:hAnsi="Times New Roman"/>
          <w:sz w:val="28"/>
          <w:szCs w:val="28"/>
          <w:lang w:val="uk-UA"/>
        </w:rPr>
        <w:t>Oktober</w:t>
      </w:r>
      <w:proofErr w:type="spellEnd"/>
      <w:r w:rsidR="002E38DD" w:rsidRPr="001A238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1A2387">
        <w:rPr>
          <w:rFonts w:ascii="Times New Roman" w:hAnsi="Times New Roman"/>
          <w:sz w:val="28"/>
          <w:szCs w:val="28"/>
          <w:lang w:val="uk-UA"/>
        </w:rPr>
        <w:t>).</w:t>
      </w:r>
    </w:p>
    <w:p w14:paraId="2F8DF7A1" w14:textId="77777777" w:rsidR="002E38DD" w:rsidRPr="001A2387" w:rsidRDefault="002E38DD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lastRenderedPageBreak/>
        <w:t xml:space="preserve">9.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Drokina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N.I. (2016)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Metodychnyj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pidkhid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do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ocinky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komunikacijnoji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systemy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pidpryjemstv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Methodical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approach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assessment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enterprises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].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Industrial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economics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3,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. 291–300.</w:t>
      </w:r>
    </w:p>
    <w:p w14:paraId="7461B64C" w14:textId="77777777" w:rsidR="002E38DD" w:rsidRPr="001A2387" w:rsidRDefault="002E38DD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Zerfass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, A. (2014)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Innovation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Leadership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Developments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Strategic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International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Journal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Strategic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Communication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no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2,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. 107–122.</w:t>
      </w:r>
    </w:p>
    <w:p w14:paraId="639B8781" w14:textId="77777777" w:rsidR="002E38DD" w:rsidRPr="001A2387" w:rsidRDefault="002E38DD" w:rsidP="00B230F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Wоrld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Есоnоmіс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Fоrum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Available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httр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www.wеfоrum.оrg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accessed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2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Oktober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2021).</w:t>
      </w:r>
    </w:p>
    <w:p w14:paraId="60AA507B" w14:textId="77777777" w:rsidR="00ED5A28" w:rsidRPr="001A2387" w:rsidRDefault="002E38DD" w:rsidP="005B7C1F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Tjeljetov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O.S.,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Ivashova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N.V. (2013)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Ocinka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jakosti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komunikacij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promyslovykh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pidpryjemstv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Assessment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quality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communications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industrial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enterprises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].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Marketing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1A23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A2387">
        <w:rPr>
          <w:rFonts w:ascii="Times New Roman" w:hAnsi="Times New Roman"/>
          <w:i/>
          <w:sz w:val="28"/>
          <w:szCs w:val="28"/>
          <w:lang w:val="uk-UA"/>
        </w:rPr>
        <w:t>Ukraine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 xml:space="preserve"> 4, </w:t>
      </w:r>
      <w:proofErr w:type="spellStart"/>
      <w:r w:rsidRPr="001A2387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1A2387">
        <w:rPr>
          <w:rFonts w:ascii="Times New Roman" w:hAnsi="Times New Roman"/>
          <w:sz w:val="28"/>
          <w:szCs w:val="28"/>
          <w:lang w:val="uk-UA"/>
        </w:rPr>
        <w:t>. 17–21.</w:t>
      </w:r>
    </w:p>
    <w:p w14:paraId="00DE58C0" w14:textId="77777777" w:rsidR="005B7C1F" w:rsidRPr="001A2387" w:rsidRDefault="005B7C1F" w:rsidP="005B7C1F">
      <w:pPr>
        <w:rPr>
          <w:rFonts w:ascii="Times New Roman" w:hAnsi="Times New Roman"/>
          <w:sz w:val="28"/>
          <w:szCs w:val="28"/>
          <w:lang w:val="uk-UA"/>
        </w:rPr>
      </w:pPr>
    </w:p>
    <w:p w14:paraId="6CFF7DF6" w14:textId="77777777" w:rsidR="00ED5A28" w:rsidRPr="001A2387" w:rsidRDefault="005B7C1F" w:rsidP="005B7C1F">
      <w:pPr>
        <w:tabs>
          <w:tab w:val="left" w:pos="6045"/>
        </w:tabs>
        <w:rPr>
          <w:rFonts w:ascii="Times New Roman" w:hAnsi="Times New Roman"/>
          <w:sz w:val="28"/>
          <w:szCs w:val="28"/>
          <w:lang w:val="uk-UA"/>
        </w:rPr>
      </w:pPr>
      <w:r w:rsidRPr="001A2387">
        <w:rPr>
          <w:rFonts w:ascii="Times New Roman" w:hAnsi="Times New Roman"/>
          <w:sz w:val="28"/>
          <w:szCs w:val="28"/>
          <w:lang w:val="uk-UA"/>
        </w:rPr>
        <w:tab/>
      </w:r>
    </w:p>
    <w:sectPr w:rsidR="00ED5A28" w:rsidRPr="001A2387" w:rsidSect="000874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F55"/>
    <w:multiLevelType w:val="multilevel"/>
    <w:tmpl w:val="E292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93A2AB5"/>
    <w:multiLevelType w:val="hybridMultilevel"/>
    <w:tmpl w:val="439637BC"/>
    <w:lvl w:ilvl="0" w:tplc="2A486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BE"/>
    <w:rsid w:val="000051DE"/>
    <w:rsid w:val="000071DF"/>
    <w:rsid w:val="00007ACE"/>
    <w:rsid w:val="000874BE"/>
    <w:rsid w:val="000A7993"/>
    <w:rsid w:val="00115346"/>
    <w:rsid w:val="00123902"/>
    <w:rsid w:val="001751B6"/>
    <w:rsid w:val="001A2387"/>
    <w:rsid w:val="001D75BB"/>
    <w:rsid w:val="00270D6B"/>
    <w:rsid w:val="00276A95"/>
    <w:rsid w:val="0028006D"/>
    <w:rsid w:val="0028168A"/>
    <w:rsid w:val="00291225"/>
    <w:rsid w:val="002E38DD"/>
    <w:rsid w:val="003017A9"/>
    <w:rsid w:val="0031031B"/>
    <w:rsid w:val="0059082F"/>
    <w:rsid w:val="005B6203"/>
    <w:rsid w:val="005B7C1F"/>
    <w:rsid w:val="006C34CF"/>
    <w:rsid w:val="00722FF2"/>
    <w:rsid w:val="00785121"/>
    <w:rsid w:val="00790D3F"/>
    <w:rsid w:val="007B0880"/>
    <w:rsid w:val="0090092D"/>
    <w:rsid w:val="00934D93"/>
    <w:rsid w:val="00AE0CFE"/>
    <w:rsid w:val="00B230FE"/>
    <w:rsid w:val="00B450B5"/>
    <w:rsid w:val="00B5490E"/>
    <w:rsid w:val="00BE2748"/>
    <w:rsid w:val="00C25765"/>
    <w:rsid w:val="00C668B0"/>
    <w:rsid w:val="00D452A0"/>
    <w:rsid w:val="00D60090"/>
    <w:rsid w:val="00E46ABE"/>
    <w:rsid w:val="00E72945"/>
    <w:rsid w:val="00E77A85"/>
    <w:rsid w:val="00ED5A28"/>
    <w:rsid w:val="00ED650A"/>
    <w:rsid w:val="00F6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A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ы"/>
    <w:basedOn w:val="a"/>
    <w:link w:val="a4"/>
    <w:qFormat/>
    <w:rsid w:val="000874B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7"/>
      <w:lang w:eastAsia="ru-RU"/>
    </w:rPr>
  </w:style>
  <w:style w:type="character" w:customStyle="1" w:styleId="a4">
    <w:name w:val="Тезы Знак"/>
    <w:basedOn w:val="a0"/>
    <w:link w:val="a3"/>
    <w:rsid w:val="000874BE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styleId="a5">
    <w:name w:val="Hyperlink"/>
    <w:basedOn w:val="a0"/>
    <w:uiPriority w:val="99"/>
    <w:unhideWhenUsed/>
    <w:rsid w:val="000A79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ы"/>
    <w:basedOn w:val="a"/>
    <w:link w:val="a4"/>
    <w:qFormat/>
    <w:rsid w:val="000874B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7"/>
      <w:lang w:eastAsia="ru-RU"/>
    </w:rPr>
  </w:style>
  <w:style w:type="character" w:customStyle="1" w:styleId="a4">
    <w:name w:val="Тезы Знак"/>
    <w:basedOn w:val="a0"/>
    <w:link w:val="a3"/>
    <w:rsid w:val="000874BE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styleId="a5">
    <w:name w:val="Hyperlink"/>
    <w:basedOn w:val="a0"/>
    <w:uiPriority w:val="99"/>
    <w:unhideWhenUsed/>
    <w:rsid w:val="000A7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99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6024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2021-11-01T04:41:00Z</dcterms:created>
  <dcterms:modified xsi:type="dcterms:W3CDTF">2021-11-01T04:45:00Z</dcterms:modified>
</cp:coreProperties>
</file>