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13B1" w14:textId="76BD143C" w:rsidR="00DE2122" w:rsidRPr="00CC1F35" w:rsidRDefault="00DE2122" w:rsidP="00DE212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УДК 338.64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+ 338.001.36</w:t>
      </w:r>
    </w:p>
    <w:p w14:paraId="6455AA87" w14:textId="176C7EB9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Койбічук</w:t>
      </w:r>
      <w:proofErr w:type="spellEnd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</w:p>
    <w:p w14:paraId="457BD66F" w14:textId="77777777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економічних наук, доцент,</w:t>
      </w:r>
    </w:p>
    <w:p w14:paraId="3ADE2E8D" w14:textId="77777777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старший викладач кафедри економічної кібернетики</w:t>
      </w:r>
    </w:p>
    <w:p w14:paraId="05FBC09B" w14:textId="77777777" w:rsidR="004C5E62" w:rsidRPr="00CC1F35" w:rsidRDefault="00272FB7" w:rsidP="004C5E62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Сумського державного університету</w:t>
      </w:r>
      <w:r w:rsidR="004C5E62" w:rsidRPr="00CC1F3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14:paraId="63A7906A" w14:textId="38462EA3" w:rsidR="004C5E62" w:rsidRPr="00CC1F35" w:rsidRDefault="004C5E62" w:rsidP="004C5E62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Дрозд С.А.</w:t>
      </w:r>
    </w:p>
    <w:p w14:paraId="2E5C23BA" w14:textId="545FBD20" w:rsidR="004C5E62" w:rsidRPr="00CC1F35" w:rsidRDefault="004C5E62" w:rsidP="004C5E62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аспірант</w:t>
      </w:r>
    </w:p>
    <w:p w14:paraId="1FD35BA8" w14:textId="77777777" w:rsidR="004C5E62" w:rsidRPr="00CC1F35" w:rsidRDefault="004C5E62" w:rsidP="004C5E62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Сумського державного університету</w:t>
      </w:r>
    </w:p>
    <w:p w14:paraId="370303DB" w14:textId="1E6A4060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0AE21F67" w14:textId="77777777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Vitaliia</w:t>
      </w:r>
      <w:proofErr w:type="spellEnd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Koibichuk</w:t>
      </w:r>
      <w:proofErr w:type="spellEnd"/>
    </w:p>
    <w:p w14:paraId="1FDB6BE4" w14:textId="77777777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Ph.D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, (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Economics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Associate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Professor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</w:p>
    <w:p w14:paraId="3FC6C984" w14:textId="77777777" w:rsidR="00272FB7" w:rsidRPr="00CC1F35" w:rsidRDefault="00272FB7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Senior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Lecturer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at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Economic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Cybernetics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Department</w:t>
      </w:r>
      <w:proofErr w:type="spellEnd"/>
    </w:p>
    <w:p w14:paraId="6D346B41" w14:textId="6F1F2C17" w:rsidR="00272FB7" w:rsidRPr="00CC1F35" w:rsidRDefault="004C5E62" w:rsidP="00272FB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Sumy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State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University</w:t>
      </w:r>
      <w:proofErr w:type="spellEnd"/>
    </w:p>
    <w:p w14:paraId="090B356C" w14:textId="54906577" w:rsidR="001B7AD7" w:rsidRPr="00CC1F35" w:rsidRDefault="001B7AD7" w:rsidP="001B7AD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Drozd</w:t>
      </w:r>
      <w:proofErr w:type="spellEnd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Serhii</w:t>
      </w:r>
      <w:proofErr w:type="spellEnd"/>
    </w:p>
    <w:p w14:paraId="0E0D1421" w14:textId="77777777" w:rsidR="001B7AD7" w:rsidRPr="00CC1F35" w:rsidRDefault="001B7AD7" w:rsidP="001B7AD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PhD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Student</w:t>
      </w:r>
      <w:proofErr w:type="spellEnd"/>
    </w:p>
    <w:p w14:paraId="2955F3FB" w14:textId="617DB388" w:rsidR="001B7AD7" w:rsidRPr="00CC1F35" w:rsidRDefault="001B7AD7" w:rsidP="001B7AD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Sumy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State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University</w:t>
      </w:r>
      <w:proofErr w:type="spellEnd"/>
    </w:p>
    <w:p w14:paraId="2E5D4FF5" w14:textId="77777777" w:rsidR="001B7AD7" w:rsidRPr="00CC1F35" w:rsidRDefault="001B7AD7" w:rsidP="001B7AD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321B84" w14:textId="0FE3728A" w:rsidR="00DE2122" w:rsidRPr="00CC1F35" w:rsidRDefault="002A5896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ФРОНТІРНИЙ АНАЛІЗ СОЦІАЛЬНО</w:t>
      </w:r>
      <w:r w:rsidR="00A502F6"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ДЕМОГРАФІЧНИХ ДАНИХ</w:t>
      </w:r>
    </w:p>
    <w:p w14:paraId="128B4582" w14:textId="77777777" w:rsidR="009314C7" w:rsidRPr="00CC1F35" w:rsidRDefault="009314C7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C75188" w14:textId="20F8BCB6" w:rsidR="002A5896" w:rsidRPr="00CC1F35" w:rsidRDefault="002A5896" w:rsidP="002A589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FRONTIER ANALYSIS OF SOCIO-DEMOGRAPHIC DATA</w:t>
      </w:r>
    </w:p>
    <w:p w14:paraId="1444F3C1" w14:textId="77777777" w:rsidR="00D54685" w:rsidRPr="00CC1F35" w:rsidRDefault="00D54685" w:rsidP="002A589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EB60EC" w14:textId="758BEE61" w:rsidR="004C5E62" w:rsidRPr="00CC1F35" w:rsidRDefault="00D54685" w:rsidP="00D54685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</w:p>
    <w:p w14:paraId="795C62D1" w14:textId="52A46B5C" w:rsidR="00B57CEC" w:rsidRPr="00CC1F35" w:rsidRDefault="00B57CEC" w:rsidP="00B57C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Визначення рівня ефективності соціально-економічної системи – процес суб’єктивний для кожного дослідника, адже кількісні характеристики, що визначають рівень ефективної роботи системи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різні.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далий вибір показників та метод обробки даних да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 xml:space="preserve">ють змогу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оцінку.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міння визначати ефективність процесів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середині системи надає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 xml:space="preserve">низку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переваг, таких як функціональність, гнучкість, масштабування, продуктивність.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статті запропоновано використати метод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фронтірного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аналізу, котрий широко використовується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оцінюванн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якості діяльності банків. Запропонована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 дає позитивний результат 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CC1F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 даними системи охорони здоров’я різних країн для визначення претендентів на аналіз відмінностей від наявної системи охорони здоров’я в Україні. Актуальність розв</w:t>
      </w:r>
      <w:r w:rsidR="005B6E21" w:rsidRPr="00CC1F3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язання питання аналізу</w:t>
      </w:r>
      <w:r w:rsidR="005B6E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охорони здоров’я країн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з відносно ефективними показниками є кроком до фундаментальної реформації наявної системи та вибор</w:t>
      </w:r>
      <w:r w:rsidR="00C9086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напряму подальшого розвитку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можливих варіантів зміни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категорично невірно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розвитку. Якісними та кількісними показниками, що формують ефективність системи охорони здоров’я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E21" w:rsidRPr="00CC1F35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E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витрати на охорону здоров’я, тривалість життя населення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системи охорони здоров’я громадянами країни.</w:t>
      </w:r>
      <w:r w:rsidR="00C77E52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аналізу медичних показників дуже важливо визначити їх ефективність. За допомогою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фронтірного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аналізу ця можливість 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реалізована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одного вхідного значення 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на охорону здоров’я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та вихідних значень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таких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як тривалість життя та використання охорони здоров’я.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і аналізу застосовано програмне забезпечення відкритого безкоштовного доступу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Analyst</w:t>
      </w:r>
      <w:proofErr w:type="spellEnd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інформаційну базу Організації економічного співробітництва та розвитку з метою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ефективності країн за еталоном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групі та визначення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яка країна і наскільки має відхилення показників ефективності. </w:t>
      </w:r>
      <w:r w:rsidR="000D741A" w:rsidRPr="00CC1F35">
        <w:rPr>
          <w:rFonts w:ascii="Times New Roman" w:hAnsi="Times New Roman" w:cs="Times New Roman"/>
          <w:sz w:val="28"/>
          <w:szCs w:val="28"/>
          <w:lang w:val="uk-UA"/>
        </w:rPr>
        <w:t>Проведене дослідження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 xml:space="preserve">дало змогу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обробити важливий соціально-економічний досвід країн, </w:t>
      </w:r>
      <w:r w:rsidR="00381274" w:rsidRPr="00CC1F35">
        <w:rPr>
          <w:rFonts w:ascii="Times New Roman" w:hAnsi="Times New Roman" w:cs="Times New Roman"/>
          <w:sz w:val="28"/>
          <w:szCs w:val="28"/>
          <w:lang w:val="uk-UA"/>
        </w:rPr>
        <w:t>що слугує підґрунтям для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381274" w:rsidRPr="00CC1F35">
        <w:rPr>
          <w:rFonts w:ascii="Times New Roman" w:hAnsi="Times New Roman" w:cs="Times New Roman"/>
          <w:sz w:val="28"/>
          <w:szCs w:val="28"/>
          <w:lang w:val="uk-UA"/>
        </w:rPr>
        <w:t>едення реформації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сис</w:t>
      </w:r>
      <w:r w:rsidR="00381274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теми охорони здоров’я в Україні з метою її 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1274" w:rsidRPr="00CC1F35">
        <w:rPr>
          <w:rFonts w:ascii="Times New Roman" w:hAnsi="Times New Roman" w:cs="Times New Roman"/>
          <w:sz w:val="28"/>
          <w:szCs w:val="28"/>
          <w:lang w:val="uk-UA"/>
        </w:rPr>
        <w:t>досконалення та по</w:t>
      </w:r>
      <w:r w:rsidR="007B5BDF">
        <w:rPr>
          <w:rFonts w:ascii="Times New Roman" w:hAnsi="Times New Roman" w:cs="Times New Roman"/>
          <w:sz w:val="28"/>
          <w:szCs w:val="28"/>
          <w:lang w:val="uk-UA"/>
        </w:rPr>
        <w:t>ліпшення</w:t>
      </w:r>
      <w:r w:rsidR="00381274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E4ADB3" w14:textId="1FA59B4B" w:rsidR="00DE2122" w:rsidRPr="00CC1F35" w:rsidRDefault="00DE2122" w:rsidP="00DE212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AD7" w:rsidRPr="00CC1F35">
        <w:rPr>
          <w:rFonts w:ascii="Times New Roman" w:hAnsi="Times New Roman" w:cs="Times New Roman"/>
          <w:sz w:val="28"/>
          <w:szCs w:val="28"/>
          <w:lang w:val="uk-UA"/>
        </w:rPr>
        <w:t>фронтірний</w:t>
      </w:r>
      <w:proofErr w:type="spellEnd"/>
      <w:r w:rsidR="001B7AD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аналіз, охорона здоров’я</w:t>
      </w:r>
      <w:r w:rsidR="00CA08D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28E5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охорони </w:t>
      </w:r>
      <w:r w:rsidR="00912401" w:rsidRPr="00CC1F35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CA08DD" w:rsidRPr="00CC1F35">
        <w:rPr>
          <w:rFonts w:ascii="Times New Roman" w:hAnsi="Times New Roman" w:cs="Times New Roman"/>
          <w:sz w:val="28"/>
          <w:szCs w:val="28"/>
          <w:lang w:val="uk-UA"/>
        </w:rPr>
        <w:t>, тривалість життя</w:t>
      </w:r>
      <w:r w:rsidR="0091240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медична реформа</w:t>
      </w:r>
      <w:r w:rsidR="00912401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85653D" w14:textId="77777777" w:rsidR="00D54685" w:rsidRPr="00CC1F35" w:rsidRDefault="00D54685" w:rsidP="00DE212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5F20D3B" w14:textId="14995603" w:rsidR="004C5E62" w:rsidRPr="00CC1F35" w:rsidRDefault="00D54685" w:rsidP="00DE2122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</w:p>
    <w:p w14:paraId="495A870F" w14:textId="4D3963A1" w:rsidR="004C1D1C" w:rsidRPr="007B5BDF" w:rsidRDefault="004C1D1C" w:rsidP="004C1D1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BDF">
        <w:rPr>
          <w:rFonts w:ascii="Times New Roman" w:hAnsi="Times New Roman" w:cs="Times New Roman"/>
          <w:sz w:val="28"/>
          <w:szCs w:val="28"/>
        </w:rPr>
        <w:t xml:space="preserve">Определение уровня эффективности социально-экономической системы </w:t>
      </w:r>
      <w:r w:rsidR="007B5BDF">
        <w:rPr>
          <w:rFonts w:ascii="Times New Roman" w:hAnsi="Times New Roman" w:cs="Times New Roman"/>
          <w:sz w:val="28"/>
          <w:szCs w:val="28"/>
        </w:rPr>
        <w:t>–</w:t>
      </w:r>
      <w:r w:rsidRPr="007B5BDF">
        <w:rPr>
          <w:rFonts w:ascii="Times New Roman" w:hAnsi="Times New Roman" w:cs="Times New Roman"/>
          <w:sz w:val="28"/>
          <w:szCs w:val="28"/>
        </w:rPr>
        <w:t xml:space="preserve"> процесс субъективный для каждого исследователя, ведь количественные характеристики, определяющие уровень эффективной работы системы</w:t>
      </w:r>
      <w:r w:rsidR="007B5BDF">
        <w:rPr>
          <w:rFonts w:ascii="Times New Roman" w:hAnsi="Times New Roman" w:cs="Times New Roman"/>
          <w:sz w:val="28"/>
          <w:szCs w:val="28"/>
        </w:rPr>
        <w:t>,</w:t>
      </w:r>
      <w:r w:rsidRPr="007B5BDF">
        <w:rPr>
          <w:rFonts w:ascii="Times New Roman" w:hAnsi="Times New Roman" w:cs="Times New Roman"/>
          <w:sz w:val="28"/>
          <w:szCs w:val="28"/>
        </w:rPr>
        <w:t xml:space="preserve"> разные. Удачный выбор показателей и метод обработки данных позволя</w:t>
      </w:r>
      <w:r w:rsidR="007B5BDF">
        <w:rPr>
          <w:rFonts w:ascii="Times New Roman" w:hAnsi="Times New Roman" w:cs="Times New Roman"/>
          <w:sz w:val="28"/>
          <w:szCs w:val="28"/>
        </w:rPr>
        <w:t>ю</w:t>
      </w:r>
      <w:r w:rsidRPr="007B5BDF">
        <w:rPr>
          <w:rFonts w:ascii="Times New Roman" w:hAnsi="Times New Roman" w:cs="Times New Roman"/>
          <w:sz w:val="28"/>
          <w:szCs w:val="28"/>
        </w:rPr>
        <w:t xml:space="preserve">т проводить </w:t>
      </w:r>
      <w:r w:rsidRPr="007B5BDF">
        <w:rPr>
          <w:rFonts w:ascii="Times New Roman" w:hAnsi="Times New Roman" w:cs="Times New Roman"/>
          <w:sz w:val="28"/>
          <w:szCs w:val="28"/>
        </w:rPr>
        <w:lastRenderedPageBreak/>
        <w:t xml:space="preserve">оценку. Умение определять эффективность процессов внутри системы дает ряд преимуществ, таких как функциональность, гибкость, масштабирование, производительность. В статье предложено использовать метод </w:t>
      </w:r>
      <w:proofErr w:type="spellStart"/>
      <w:r w:rsidRPr="007B5BDF">
        <w:rPr>
          <w:rFonts w:ascii="Times New Roman" w:hAnsi="Times New Roman" w:cs="Times New Roman"/>
          <w:sz w:val="28"/>
          <w:szCs w:val="28"/>
        </w:rPr>
        <w:t>фронтирного</w:t>
      </w:r>
      <w:proofErr w:type="spellEnd"/>
      <w:r w:rsidRPr="007B5BDF">
        <w:rPr>
          <w:rFonts w:ascii="Times New Roman" w:hAnsi="Times New Roman" w:cs="Times New Roman"/>
          <w:sz w:val="28"/>
          <w:szCs w:val="28"/>
        </w:rPr>
        <w:t xml:space="preserve"> анализа, который широко используется при оценке качества деятельности банков. Предложенная методика дает положительный результат </w:t>
      </w:r>
      <w:proofErr w:type="gramStart"/>
      <w:r w:rsidRPr="007B5BDF">
        <w:rPr>
          <w:rFonts w:ascii="Times New Roman" w:hAnsi="Times New Roman" w:cs="Times New Roman"/>
          <w:sz w:val="28"/>
          <w:szCs w:val="28"/>
        </w:rPr>
        <w:t>при работе с данными системы здравоохранения разных стран для определения претендентов на анализ отличий от существующей системы</w:t>
      </w:r>
      <w:proofErr w:type="gramEnd"/>
      <w:r w:rsidRPr="007B5BDF">
        <w:rPr>
          <w:rFonts w:ascii="Times New Roman" w:hAnsi="Times New Roman" w:cs="Times New Roman"/>
          <w:sz w:val="28"/>
          <w:szCs w:val="28"/>
        </w:rPr>
        <w:t xml:space="preserve"> здравоохранения в Украине. Актуальность </w:t>
      </w:r>
      <w:proofErr w:type="gramStart"/>
      <w:r w:rsidRPr="007B5BDF">
        <w:rPr>
          <w:rFonts w:ascii="Times New Roman" w:hAnsi="Times New Roman" w:cs="Times New Roman"/>
          <w:sz w:val="28"/>
          <w:szCs w:val="28"/>
        </w:rPr>
        <w:t>решения вопроса анализа качества системы здравоохранения стран</w:t>
      </w:r>
      <w:proofErr w:type="gramEnd"/>
      <w:r w:rsidRPr="007B5BDF">
        <w:rPr>
          <w:rFonts w:ascii="Times New Roman" w:hAnsi="Times New Roman" w:cs="Times New Roman"/>
          <w:sz w:val="28"/>
          <w:szCs w:val="28"/>
        </w:rPr>
        <w:t xml:space="preserve"> с относительно эффективными показателями является шагом к фундаментальной реформации существующей системы и выбор</w:t>
      </w:r>
      <w:r w:rsidR="00C9086E">
        <w:rPr>
          <w:rFonts w:ascii="Times New Roman" w:hAnsi="Times New Roman" w:cs="Times New Roman"/>
          <w:sz w:val="28"/>
          <w:szCs w:val="28"/>
        </w:rPr>
        <w:t xml:space="preserve">у </w:t>
      </w:r>
      <w:r w:rsidRPr="007B5BDF">
        <w:rPr>
          <w:rFonts w:ascii="Times New Roman" w:hAnsi="Times New Roman" w:cs="Times New Roman"/>
          <w:sz w:val="28"/>
          <w:szCs w:val="28"/>
        </w:rPr>
        <w:t>направления дальнейшего развития и возможных вариантов изменения при категорически неверном курсе этого развития. Качественными и количественными показателями, формирующи</w:t>
      </w:r>
      <w:r w:rsidR="00C9086E">
        <w:rPr>
          <w:rFonts w:ascii="Times New Roman" w:hAnsi="Times New Roman" w:cs="Times New Roman"/>
          <w:sz w:val="28"/>
          <w:szCs w:val="28"/>
        </w:rPr>
        <w:t>ми</w:t>
      </w:r>
      <w:r w:rsidRPr="007B5BDF">
        <w:rPr>
          <w:rFonts w:ascii="Times New Roman" w:hAnsi="Times New Roman" w:cs="Times New Roman"/>
          <w:sz w:val="28"/>
          <w:szCs w:val="28"/>
        </w:rPr>
        <w:t xml:space="preserve"> эффективность системы здравоохранения</w:t>
      </w:r>
      <w:r w:rsidR="00C9086E">
        <w:rPr>
          <w:rFonts w:ascii="Times New Roman" w:hAnsi="Times New Roman" w:cs="Times New Roman"/>
          <w:sz w:val="28"/>
          <w:szCs w:val="28"/>
        </w:rPr>
        <w:t>,</w:t>
      </w:r>
      <w:r w:rsidRPr="007B5BDF">
        <w:rPr>
          <w:rFonts w:ascii="Times New Roman" w:hAnsi="Times New Roman" w:cs="Times New Roman"/>
          <w:sz w:val="28"/>
          <w:szCs w:val="28"/>
        </w:rPr>
        <w:t xml:space="preserve"> предложено использовать расходы на здравоохранение, продолжительность жизни населения и использования системы здравоохранения гражданами страны.</w:t>
      </w:r>
      <w:r w:rsidR="00C77E52" w:rsidRPr="007B5BDF">
        <w:rPr>
          <w:rFonts w:ascii="Times New Roman" w:hAnsi="Times New Roman" w:cs="Times New Roman"/>
          <w:sz w:val="28"/>
          <w:szCs w:val="28"/>
        </w:rPr>
        <w:t xml:space="preserve"> </w:t>
      </w:r>
      <w:r w:rsidRPr="007B5BDF">
        <w:rPr>
          <w:rFonts w:ascii="Times New Roman" w:hAnsi="Times New Roman" w:cs="Times New Roman"/>
          <w:sz w:val="28"/>
          <w:szCs w:val="28"/>
        </w:rPr>
        <w:t xml:space="preserve">При проведении анализа медицинских показателей очень важно определить их эффективность. С помощью </w:t>
      </w:r>
      <w:proofErr w:type="spellStart"/>
      <w:r w:rsidRPr="007B5BDF">
        <w:rPr>
          <w:rFonts w:ascii="Times New Roman" w:hAnsi="Times New Roman" w:cs="Times New Roman"/>
          <w:sz w:val="28"/>
          <w:szCs w:val="28"/>
        </w:rPr>
        <w:t>фронтирного</w:t>
      </w:r>
      <w:proofErr w:type="spellEnd"/>
      <w:r w:rsidRPr="007B5BDF">
        <w:rPr>
          <w:rFonts w:ascii="Times New Roman" w:hAnsi="Times New Roman" w:cs="Times New Roman"/>
          <w:sz w:val="28"/>
          <w:szCs w:val="28"/>
        </w:rPr>
        <w:t xml:space="preserve"> анализа эта возможность реализована на основе одного входного значения </w:t>
      </w:r>
      <w:r w:rsidR="00A502F6" w:rsidRPr="007B5BDF">
        <w:rPr>
          <w:rFonts w:ascii="Times New Roman" w:hAnsi="Times New Roman" w:cs="Times New Roman"/>
          <w:sz w:val="28"/>
          <w:szCs w:val="28"/>
        </w:rPr>
        <w:t>–</w:t>
      </w:r>
      <w:r w:rsidRPr="007B5BD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9086E">
        <w:rPr>
          <w:rFonts w:ascii="Times New Roman" w:hAnsi="Times New Roman" w:cs="Times New Roman"/>
          <w:sz w:val="28"/>
          <w:szCs w:val="28"/>
        </w:rPr>
        <w:t xml:space="preserve">ов </w:t>
      </w:r>
      <w:r w:rsidRPr="007B5BDF">
        <w:rPr>
          <w:rFonts w:ascii="Times New Roman" w:hAnsi="Times New Roman" w:cs="Times New Roman"/>
          <w:sz w:val="28"/>
          <w:szCs w:val="28"/>
        </w:rPr>
        <w:t>на здравоохранение</w:t>
      </w:r>
      <w:r w:rsidR="00C9086E">
        <w:rPr>
          <w:rFonts w:ascii="Times New Roman" w:hAnsi="Times New Roman" w:cs="Times New Roman"/>
          <w:sz w:val="28"/>
          <w:szCs w:val="28"/>
        </w:rPr>
        <w:t xml:space="preserve"> </w:t>
      </w:r>
      <w:r w:rsidRPr="007B5BDF">
        <w:rPr>
          <w:rFonts w:ascii="Times New Roman" w:hAnsi="Times New Roman" w:cs="Times New Roman"/>
          <w:sz w:val="28"/>
          <w:szCs w:val="28"/>
        </w:rPr>
        <w:t>и выходных значений, таких</w:t>
      </w:r>
      <w:r w:rsidR="00C9086E">
        <w:rPr>
          <w:rFonts w:ascii="Times New Roman" w:hAnsi="Times New Roman" w:cs="Times New Roman"/>
          <w:sz w:val="28"/>
          <w:szCs w:val="28"/>
        </w:rPr>
        <w:t xml:space="preserve"> </w:t>
      </w:r>
      <w:r w:rsidRPr="007B5BDF">
        <w:rPr>
          <w:rFonts w:ascii="Times New Roman" w:hAnsi="Times New Roman" w:cs="Times New Roman"/>
          <w:sz w:val="28"/>
          <w:szCs w:val="28"/>
        </w:rPr>
        <w:t>как продолжительность жизни и использовани</w:t>
      </w:r>
      <w:r w:rsidR="00C9086E">
        <w:rPr>
          <w:rFonts w:ascii="Times New Roman" w:hAnsi="Times New Roman" w:cs="Times New Roman"/>
          <w:sz w:val="28"/>
          <w:szCs w:val="28"/>
        </w:rPr>
        <w:t>е</w:t>
      </w:r>
      <w:r w:rsidRPr="007B5BDF">
        <w:rPr>
          <w:rFonts w:ascii="Times New Roman" w:hAnsi="Times New Roman" w:cs="Times New Roman"/>
          <w:sz w:val="28"/>
          <w:szCs w:val="28"/>
        </w:rPr>
        <w:t xml:space="preserve"> здравоохранения. В результате анализа применен</w:t>
      </w:r>
      <w:r w:rsidR="00C9086E">
        <w:rPr>
          <w:rFonts w:ascii="Times New Roman" w:hAnsi="Times New Roman" w:cs="Times New Roman"/>
          <w:sz w:val="28"/>
          <w:szCs w:val="28"/>
        </w:rPr>
        <w:t>ы</w:t>
      </w:r>
      <w:r w:rsidRPr="007B5BDF">
        <w:rPr>
          <w:rFonts w:ascii="Times New Roman" w:hAnsi="Times New Roman" w:cs="Times New Roman"/>
          <w:sz w:val="28"/>
          <w:szCs w:val="28"/>
        </w:rPr>
        <w:t xml:space="preserve"> программное обеспечение открытого бесплатного доступа </w:t>
      </w:r>
      <w:proofErr w:type="spellStart"/>
      <w:r w:rsidRPr="007B5BDF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Pr="007B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DF">
        <w:rPr>
          <w:rFonts w:ascii="Times New Roman" w:hAnsi="Times New Roman" w:cs="Times New Roman"/>
          <w:sz w:val="28"/>
          <w:szCs w:val="28"/>
        </w:rPr>
        <w:t>Analyst</w:t>
      </w:r>
      <w:proofErr w:type="spellEnd"/>
      <w:r w:rsidRPr="007B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DF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7B5BDF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C9086E">
        <w:rPr>
          <w:rFonts w:ascii="Times New Roman" w:hAnsi="Times New Roman" w:cs="Times New Roman"/>
          <w:sz w:val="28"/>
          <w:szCs w:val="28"/>
        </w:rPr>
        <w:t xml:space="preserve">ая </w:t>
      </w:r>
      <w:r w:rsidRPr="007B5BDF">
        <w:rPr>
          <w:rFonts w:ascii="Times New Roman" w:hAnsi="Times New Roman" w:cs="Times New Roman"/>
          <w:sz w:val="28"/>
          <w:szCs w:val="28"/>
        </w:rPr>
        <w:t>баз</w:t>
      </w:r>
      <w:r w:rsidR="00C9086E">
        <w:rPr>
          <w:rFonts w:ascii="Times New Roman" w:hAnsi="Times New Roman" w:cs="Times New Roman"/>
          <w:sz w:val="28"/>
          <w:szCs w:val="28"/>
        </w:rPr>
        <w:t>а</w:t>
      </w:r>
      <w:r w:rsidRPr="007B5BDF">
        <w:rPr>
          <w:rFonts w:ascii="Times New Roman" w:hAnsi="Times New Roman" w:cs="Times New Roman"/>
          <w:sz w:val="28"/>
          <w:szCs w:val="28"/>
        </w:rPr>
        <w:t xml:space="preserve"> Организации экономического сотрудничества и развития с целью сравнения эффективности стран по стандарту в группе и определения, какая страна и насколько имеет отклонение показателей эффективности. Проведенное исследование позволило обработать важный социально-экономический опыт стран</w:t>
      </w:r>
      <w:r w:rsidR="00C9086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B5BDF">
        <w:rPr>
          <w:rFonts w:ascii="Times New Roman" w:hAnsi="Times New Roman" w:cs="Times New Roman"/>
          <w:sz w:val="28"/>
          <w:szCs w:val="28"/>
        </w:rPr>
        <w:t>служит основой для проведения реформ</w:t>
      </w:r>
      <w:r w:rsidR="00C9086E">
        <w:rPr>
          <w:rFonts w:ascii="Times New Roman" w:hAnsi="Times New Roman" w:cs="Times New Roman"/>
          <w:sz w:val="28"/>
          <w:szCs w:val="28"/>
        </w:rPr>
        <w:t xml:space="preserve">ы </w:t>
      </w:r>
      <w:r w:rsidRPr="007B5BDF">
        <w:rPr>
          <w:rFonts w:ascii="Times New Roman" w:hAnsi="Times New Roman" w:cs="Times New Roman"/>
          <w:sz w:val="28"/>
          <w:szCs w:val="28"/>
        </w:rPr>
        <w:t>системы здравоохранения в Украине с целью ее совершенствования и улучшения.</w:t>
      </w:r>
    </w:p>
    <w:p w14:paraId="51584D7D" w14:textId="77777777" w:rsidR="004C5E62" w:rsidRPr="007B5BDF" w:rsidRDefault="00DE2122" w:rsidP="00C908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BD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7B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01" w:rsidRPr="007B5BDF">
        <w:rPr>
          <w:rFonts w:ascii="Times New Roman" w:hAnsi="Times New Roman" w:cs="Times New Roman"/>
          <w:sz w:val="28"/>
          <w:szCs w:val="28"/>
        </w:rPr>
        <w:t>фронтирн</w:t>
      </w:r>
      <w:r w:rsidR="00203F2F" w:rsidRPr="007B5BDF">
        <w:rPr>
          <w:rFonts w:ascii="Times New Roman" w:hAnsi="Times New Roman" w:cs="Times New Roman"/>
          <w:sz w:val="28"/>
          <w:szCs w:val="28"/>
        </w:rPr>
        <w:t>ы</w:t>
      </w:r>
      <w:r w:rsidR="00912401" w:rsidRPr="007B5B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2401" w:rsidRPr="007B5BDF">
        <w:rPr>
          <w:rFonts w:ascii="Times New Roman" w:hAnsi="Times New Roman" w:cs="Times New Roman"/>
          <w:sz w:val="28"/>
          <w:szCs w:val="28"/>
        </w:rPr>
        <w:t xml:space="preserve"> анализ, здравоохранение, использование здравоохранения, продолжительность жизни, </w:t>
      </w:r>
      <w:r w:rsidR="004C5E62" w:rsidRPr="007B5BDF">
        <w:rPr>
          <w:rFonts w:ascii="Times New Roman" w:hAnsi="Times New Roman" w:cs="Times New Roman"/>
          <w:sz w:val="28"/>
          <w:szCs w:val="28"/>
        </w:rPr>
        <w:t>медицинская реформа.</w:t>
      </w:r>
    </w:p>
    <w:p w14:paraId="2995AB02" w14:textId="77777777" w:rsidR="004C5E62" w:rsidRPr="00CC1F35" w:rsidRDefault="004C5E62" w:rsidP="00203F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04760B4" w14:textId="400E1E6A" w:rsidR="00D54685" w:rsidRPr="00CC1F35" w:rsidRDefault="00D54685" w:rsidP="00203F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color w:val="221E1F"/>
          <w:sz w:val="28"/>
          <w:szCs w:val="28"/>
          <w:lang w:val="uk-UA"/>
        </w:rPr>
        <w:t>ANNOTATION</w:t>
      </w:r>
    </w:p>
    <w:p w14:paraId="7864B67B" w14:textId="4810814E" w:rsidR="004C1D1C" w:rsidRPr="00CC1F35" w:rsidRDefault="004C1D1C" w:rsidP="004C1D1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subjective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researcher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quantitative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characteristics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Successful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selection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conduct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functionality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flexibility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scaling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proposes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widely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assessing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banks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methodology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working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identify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applicants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differences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existing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urgency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solving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analyzing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relatively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towards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fundamental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reform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existing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choosing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further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possible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options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wrong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Qualitative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quantitative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shape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effectiveness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expectancy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E52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analyzing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very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effectiveness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capability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realized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input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2F6" w:rsidRPr="00CC1F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expectancy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free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software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base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compare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benchmark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deviations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allowed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serves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reform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improve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enhance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BAC6E" w14:textId="08B77B85" w:rsidR="00DE2122" w:rsidRPr="00CC1F35" w:rsidRDefault="00DE2122" w:rsidP="009F49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Keywords</w:t>
      </w:r>
      <w:proofErr w:type="spellEnd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expectancy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reform</w:t>
      </w:r>
      <w:proofErr w:type="spellEnd"/>
      <w:r w:rsidR="00C26D51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346E8D" w14:textId="77777777" w:rsidR="009F49DC" w:rsidRPr="00CC1F35" w:rsidRDefault="009F49DC" w:rsidP="00C26D5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9EBC3DB" w14:textId="36A0932E" w:rsidR="00E21719" w:rsidRPr="00CC1F35" w:rsidRDefault="00F12989" w:rsidP="009314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314C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>Фронтірний</w:t>
      </w:r>
      <w:proofErr w:type="spellEnd"/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>проводити визначення ефективності, а саме  визначення ефективності витрат на охорону здоров’я та соціально</w:t>
      </w:r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демографічних 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рівень соціального захисту, тривалість життя, роки здорового життя. За допомогою програмного забезпечення </w:t>
      </w:r>
      <w:proofErr w:type="spellStart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>Analyst</w:t>
      </w:r>
      <w:proofErr w:type="spellEnd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маємо можливість провести порівняння країн 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>визначити країни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котрі досягли найкращих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1129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своїй стратегічно-економічній політиці в розрізі охорони здоров’я населення.</w:t>
      </w:r>
    </w:p>
    <w:p w14:paraId="730DF5EB" w14:textId="2093B80B" w:rsidR="0067335B" w:rsidRPr="00CC1F35" w:rsidRDefault="00F12989" w:rsidP="00DE21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092274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92274">
        <w:rPr>
          <w:rFonts w:ascii="Times New Roman" w:hAnsi="Times New Roman"/>
          <w:sz w:val="28"/>
          <w:szCs w:val="28"/>
          <w:lang w:val="uk-UA"/>
        </w:rPr>
        <w:t>ться автор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5B" w:rsidRPr="00CC1F35">
        <w:rPr>
          <w:rFonts w:ascii="Times New Roman" w:hAnsi="Times New Roman" w:cs="Times New Roman"/>
          <w:sz w:val="28"/>
          <w:szCs w:val="28"/>
          <w:lang w:val="uk-UA"/>
        </w:rPr>
        <w:t>Дослідженням проблем пошуку показників ефективності та методології проведення такого аналізу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335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роботи багатьох міжнародних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та вітчизняних науковців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335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таких як С.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онов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Васильєва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Буряк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[1],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Лісек</w:t>
      </w:r>
      <w:proofErr w:type="spellEnd"/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>, П.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Гюго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Зейдель-Моргенштерн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Денисенко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Долота</w:t>
      </w:r>
      <w:r w:rsidR="005054B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4E2021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наведено опис категорії здоров’я в розрізі економічних відносин людини і державного апарату охорони здоров’я. </w:t>
      </w:r>
      <w:r w:rsidR="000F04A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Комплексність та </w:t>
      </w:r>
      <w:proofErr w:type="spellStart"/>
      <w:r w:rsidR="000F04A3" w:rsidRPr="00CC1F35">
        <w:rPr>
          <w:rFonts w:ascii="Times New Roman" w:hAnsi="Times New Roman" w:cs="Times New Roman"/>
          <w:sz w:val="28"/>
          <w:szCs w:val="28"/>
          <w:lang w:val="uk-UA"/>
        </w:rPr>
        <w:t>багатоаспектність</w:t>
      </w:r>
      <w:proofErr w:type="spellEnd"/>
      <w:r w:rsidR="000F04A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04A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що ґрунтується на кількісних та якісних індикаторах медичної сфери, соціально-духовної та політичної сфер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04A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науковці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Pr="00F1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 [4]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Ґрета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Келюотит-Станюленієне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Каміле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Даунаравічюте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[6].</w:t>
      </w:r>
    </w:p>
    <w:p w14:paraId="7A25082D" w14:textId="26BD107D" w:rsidR="009A4048" w:rsidRPr="00CC1F35" w:rsidRDefault="00F12989" w:rsidP="00DE21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Виділення невирішених раніше частин загальної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>, котрим присвячується означена стаття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політики реформування системи охорони здоров’я потрібно виконати аналіз відносно ефективних систем. Для визначення ефективності роботи системи охорони здоров’я необхідно використати метод </w:t>
      </w:r>
      <w:proofErr w:type="spellStart"/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>фронтірного</w:t>
      </w:r>
      <w:proofErr w:type="spellEnd"/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котрий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ться для визначення ефективності роботи </w:t>
      </w:r>
      <w:r w:rsidR="00EA2BC3" w:rsidRPr="00CC1F35">
        <w:rPr>
          <w:rFonts w:ascii="Times New Roman" w:hAnsi="Times New Roman" w:cs="Times New Roman"/>
          <w:sz w:val="28"/>
          <w:szCs w:val="28"/>
          <w:lang w:val="uk-UA"/>
        </w:rPr>
        <w:t>соціально-економічних об’єктів</w:t>
      </w:r>
      <w:r w:rsidR="009A4048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6AE163" w14:textId="5C862AF7" w:rsidR="0057348C" w:rsidRPr="00CC1F35" w:rsidRDefault="001B7AD7" w:rsidP="005734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98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Формулювання цілей статті</w:t>
      </w:r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(постановка завдання)</w:t>
      </w:r>
      <w:r w:rsidR="002A5896"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129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2BC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Метою статті є проведення </w:t>
      </w:r>
      <w:proofErr w:type="spellStart"/>
      <w:r w:rsidR="00EA2BC3" w:rsidRPr="00CC1F35">
        <w:rPr>
          <w:rFonts w:ascii="Times New Roman" w:hAnsi="Times New Roman" w:cs="Times New Roman"/>
          <w:sz w:val="28"/>
          <w:szCs w:val="28"/>
          <w:lang w:val="uk-UA"/>
        </w:rPr>
        <w:t>фронтірного</w:t>
      </w:r>
      <w:proofErr w:type="spellEnd"/>
      <w:r w:rsidR="00EA2BC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EA2BC3" w:rsidRPr="00CC1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соціоекономічних</w:t>
      </w:r>
      <w:proofErr w:type="spellEnd"/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2F6" w:rsidRPr="00CC1F35">
        <w:rPr>
          <w:rFonts w:ascii="Times New Roman" w:hAnsi="Times New Roman" w:cs="Times New Roman"/>
          <w:sz w:val="28"/>
          <w:szCs w:val="28"/>
          <w:lang w:val="uk-UA"/>
        </w:rPr>
        <w:t>та демографічних показників щодо використання системи охорони здоров’я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країн світу</w:t>
      </w:r>
      <w:r w:rsidR="00A502F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="00A502F6" w:rsidRPr="00CC1F3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етало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02F6" w:rsidRPr="00CC1F3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країн </w:t>
      </w:r>
      <w:r w:rsidR="00972113" w:rsidRPr="00CC1F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7211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ду, 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наскільки відрізняються показники ефективності країн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учасниць групи дослідження від еталонної країни в групі.</w:t>
      </w:r>
    </w:p>
    <w:p w14:paraId="331EBC02" w14:textId="41218503" w:rsidR="003843E7" w:rsidRPr="00CC1F35" w:rsidRDefault="00F56577" w:rsidP="009314C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314C7"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Вхідною інформаційною базою дослідження використано показники </w:t>
      </w:r>
      <w:r w:rsidR="00F62128" w:rsidRPr="00CC1F35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CD4C76" w:rsidRPr="00CC1F3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6212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>щодо тривалості життя населення, використання охорони здоров’я, витрат охорон</w:t>
      </w:r>
      <w:r w:rsidR="00150280" w:rsidRPr="00CC1F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в розрізі країн, що входять до складу Організації економічного співробітництва та розвитку (табл. 1). 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Організація економічного співробітництва та розвитку є міжурядово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економічною орга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>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>з 37 країнами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-членами, заснована в 1961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, щоб стимулювати економічний прогрес і світов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торгівл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. Це форум країн, які описують себе відданими демократії та ринковій економіці, забезпечуючи платформу для порівняння політичного досвіду, пошуку відповідей на загальні проблеми, виявлення передової практики та координації внутрішньої та мі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>жнародної політики своїх членів [6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802D5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48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5CB5D2" w14:textId="77777777" w:rsidR="00F56577" w:rsidRPr="00F56577" w:rsidRDefault="006624F5" w:rsidP="00F5657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65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1 </w:t>
      </w:r>
    </w:p>
    <w:p w14:paraId="51E076CD" w14:textId="711FD717" w:rsidR="006624F5" w:rsidRPr="00F56577" w:rsidRDefault="00F62128" w:rsidP="00F565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577">
        <w:rPr>
          <w:rFonts w:ascii="Times New Roman" w:hAnsi="Times New Roman" w:cs="Times New Roman"/>
          <w:b/>
          <w:sz w:val="28"/>
          <w:szCs w:val="28"/>
          <w:lang w:val="uk-UA"/>
        </w:rPr>
        <w:t>Зведена статистична база дослідження за 20</w:t>
      </w:r>
      <w:r w:rsidR="00CD4C76" w:rsidRPr="00F56577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F56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7"/>
        <w:gridCol w:w="2710"/>
        <w:gridCol w:w="1892"/>
        <w:gridCol w:w="3275"/>
      </w:tblGrid>
      <w:tr w:rsidR="00EB0413" w:rsidRPr="00CC1F35" w14:paraId="331E87EE" w14:textId="77777777" w:rsidTr="00B14E7A">
        <w:trPr>
          <w:trHeight w:val="227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4C13" w14:textId="77777777" w:rsidR="00EB0413" w:rsidRPr="00CC1F35" w:rsidRDefault="00EB0413" w:rsidP="002802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Країни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321F" w14:textId="77777777" w:rsidR="00EB0413" w:rsidRPr="00CC1F35" w:rsidRDefault="00EB0413" w:rsidP="002802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охорони здоров'я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9218" w14:textId="77777777" w:rsidR="00EB0413" w:rsidRPr="00CC1F35" w:rsidRDefault="00EB0413" w:rsidP="002802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Тривалість життя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A3D2" w14:textId="77777777" w:rsidR="00EB0413" w:rsidRPr="00CC1F35" w:rsidRDefault="00EB0413" w:rsidP="002802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охорони здоров'я</w:t>
            </w:r>
          </w:p>
        </w:tc>
      </w:tr>
      <w:tr w:rsidR="00B14AE5" w:rsidRPr="00CC1F35" w14:paraId="2C5EF60E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18ABB" w14:textId="582288A1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Австралія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F68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9,155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AE0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13BD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</w:tr>
      <w:tr w:rsidR="00B14AE5" w:rsidRPr="00CC1F35" w14:paraId="5FB64C6C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239FF" w14:textId="21060136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CD5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10,318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7D6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1A2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6,6</w:t>
            </w:r>
          </w:p>
        </w:tc>
      </w:tr>
      <w:tr w:rsidR="00B14AE5" w:rsidRPr="00CC1F35" w14:paraId="346416A1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EB2C8" w14:textId="26A0AAF3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Бельгія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A3E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10,764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E1D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681F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</w:tr>
      <w:tr w:rsidR="00B14AE5" w:rsidRPr="00CC1F35" w14:paraId="5D1E78C4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4DFAC" w14:textId="0F4431C9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CABC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10,806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74D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826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6,6</w:t>
            </w:r>
          </w:p>
        </w:tc>
      </w:tr>
      <w:tr w:rsidR="00B14AE5" w:rsidRPr="00CC1F35" w14:paraId="4A35C418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BDEC0" w14:textId="3B9F79A2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Чилі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6D0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9,159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7F9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1DCC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2,9</w:t>
            </w:r>
          </w:p>
        </w:tc>
      </w:tr>
      <w:tr w:rsidR="00B14AE5" w:rsidRPr="00CC1F35" w14:paraId="7CE9C6F7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0B446" w14:textId="4C9BC83C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Колумбія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95F5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7,625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982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897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2,6</w:t>
            </w:r>
          </w:p>
        </w:tc>
      </w:tr>
      <w:tr w:rsidR="00B14AE5" w:rsidRPr="00CC1F35" w14:paraId="56150BB4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2FF45" w14:textId="0F07F822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Коста-Ріка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D88D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7,296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74F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DB4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</w:t>
            </w:r>
          </w:p>
        </w:tc>
      </w:tr>
      <w:tr w:rsidR="00B14AE5" w:rsidRPr="00CC1F35" w14:paraId="39223D03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ECFFC" w14:textId="4ECB2EE8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Чеська Республіка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B6FC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7,525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C37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79,1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142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</w:t>
            </w:r>
          </w:p>
        </w:tc>
      </w:tr>
      <w:tr w:rsidR="00B14AE5" w:rsidRPr="00CC1F35" w14:paraId="647BE4DA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B5BB4" w14:textId="3FBBDF00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EA6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10,071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1502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24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14AE5" w:rsidRPr="00CC1F35" w14:paraId="6A7FD3F4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77117" w14:textId="74F6C400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Естонія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366E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6,686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E0D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78,4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9F8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</w:tr>
      <w:tr w:rsidR="00B14AE5" w:rsidRPr="00CC1F35" w14:paraId="211126CA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32B68" w14:textId="1C220D93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Фінляндія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009C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9,036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339E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112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4,4</w:t>
            </w:r>
          </w:p>
        </w:tc>
      </w:tr>
      <w:tr w:rsidR="00B14AE5" w:rsidRPr="00CC1F35" w14:paraId="61CA423A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9E582" w14:textId="0B3BF63C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62B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11,198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48E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20D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5,9</w:t>
            </w:r>
          </w:p>
        </w:tc>
      </w:tr>
      <w:tr w:rsidR="00B14AE5" w:rsidRPr="00CC1F35" w14:paraId="79979C68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B836A" w14:textId="49EB2DDF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bookmarkStart w:id="0" w:name="_Hlk82857394"/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32E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A70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982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9,8</w:t>
            </w:r>
          </w:p>
        </w:tc>
      </w:tr>
      <w:tr w:rsidR="00B14AE5" w:rsidRPr="00CC1F35" w14:paraId="33B66909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84C79" w14:textId="1497B585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A02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7,959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304C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ABF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3,2</w:t>
            </w:r>
          </w:p>
        </w:tc>
      </w:tr>
      <w:tr w:rsidR="00B14AE5" w:rsidRPr="00CC1F35" w14:paraId="01F2658A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85D5A" w14:textId="0495B854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Угорщина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32C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6,546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5B3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C25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10,7</w:t>
            </w:r>
          </w:p>
        </w:tc>
      </w:tr>
      <w:tr w:rsidR="00B14AE5" w:rsidRPr="00CC1F35" w14:paraId="666D6605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E221E" w14:textId="1D1F9026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Ісландія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C19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8,43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0BBA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CAE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5,9</w:t>
            </w:r>
          </w:p>
        </w:tc>
      </w:tr>
      <w:tr w:rsidR="00B14AE5" w:rsidRPr="00CC1F35" w14:paraId="4FB14676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FC70E" w14:textId="48748A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Ірландія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138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6,86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87F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06D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5,8</w:t>
            </w:r>
          </w:p>
        </w:tc>
      </w:tr>
      <w:tr w:rsidR="00B14AE5" w:rsidRPr="00CC1F35" w14:paraId="52A69CE7" w14:textId="77777777" w:rsidTr="00B14E7A">
        <w:trPr>
          <w:trHeight w:val="227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90D55" w14:textId="650A82CC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Ізраїль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685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7,532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CCF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125E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</w:t>
            </w:r>
          </w:p>
        </w:tc>
      </w:tr>
    </w:tbl>
    <w:p w14:paraId="080D6F1C" w14:textId="2D918423" w:rsidR="00B14E7A" w:rsidRPr="00F56577" w:rsidRDefault="00B14E7A" w:rsidP="00B14E7A">
      <w:pPr>
        <w:jc w:val="right"/>
        <w:rPr>
          <w:rFonts w:ascii="Times New Roman" w:hAnsi="Times New Roman" w:cs="Times New Roman"/>
          <w:i/>
          <w:lang w:val="uk-UA"/>
        </w:rPr>
      </w:pPr>
      <w:r w:rsidRPr="00F56577">
        <w:rPr>
          <w:rFonts w:ascii="Times New Roman" w:hAnsi="Times New Roman" w:cs="Times New Roman"/>
          <w:i/>
          <w:lang w:val="uk-UA"/>
        </w:rPr>
        <w:t>Продовження таблиці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538"/>
        <w:gridCol w:w="1752"/>
        <w:gridCol w:w="3080"/>
      </w:tblGrid>
      <w:tr w:rsidR="00B14AE5" w:rsidRPr="00CC1F35" w14:paraId="142C7AB5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5CDE3451" w14:textId="0482C561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5389DE9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8,675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6B2C440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83,4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C3ABB3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10,4</w:t>
            </w:r>
          </w:p>
        </w:tc>
      </w:tr>
      <w:tr w:rsidR="00B14AE5" w:rsidRPr="00CC1F35" w14:paraId="35CCC260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096C29CE" w14:textId="10BF2F65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58C723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10,926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4806928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84,3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F302A1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12,5</w:t>
            </w:r>
          </w:p>
        </w:tc>
      </w:tr>
      <w:tr w:rsidR="00B14AE5" w:rsidRPr="00CC1F35" w14:paraId="3230437C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0B49B1EC" w14:textId="75E20456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253B646E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7,52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7288A48D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82,7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7F1DB832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17,2</w:t>
            </w:r>
          </w:p>
        </w:tc>
      </w:tr>
      <w:tr w:rsidR="00B14AE5" w:rsidRPr="00CC1F35" w14:paraId="291D2916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0099C67D" w14:textId="335879E3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Латвія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2660661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6,534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5B39D23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74,9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442FE2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</w:t>
            </w:r>
          </w:p>
        </w:tc>
      </w:tr>
      <w:tr w:rsidR="00B14AE5" w:rsidRPr="00CC1F35" w14:paraId="04503694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5EBE01B0" w14:textId="54D45790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Литва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3A53AED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6,191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3766D87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75,8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7F8AA105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</w:t>
            </w:r>
          </w:p>
        </w:tc>
      </w:tr>
      <w:tr w:rsidR="00B14AE5" w:rsidRPr="00CC1F35" w14:paraId="3B207C33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144A85B0" w14:textId="5EA78320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Люксембург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09F7741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5,286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752CCD2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82,4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C7194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</w:tr>
      <w:bookmarkEnd w:id="0"/>
      <w:tr w:rsidR="00B14AE5" w:rsidRPr="00CC1F35" w14:paraId="22D87CA6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68498319" w14:textId="4D2AC5E5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Мексика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6737365D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5,379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4C2D774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745FBC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</w:t>
            </w:r>
          </w:p>
        </w:tc>
      </w:tr>
      <w:tr w:rsidR="00B14AE5" w:rsidRPr="00CC1F35" w14:paraId="54703A75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6632BC1A" w14:textId="2413687D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Нідерланди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43671C7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10,032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65BB039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81,9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85072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8,8</w:t>
            </w:r>
          </w:p>
        </w:tc>
      </w:tr>
      <w:tr w:rsidR="00B14AE5" w:rsidRPr="00CC1F35" w14:paraId="401F6EEE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707F8BCB" w14:textId="62E6469D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Зеландія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6822DD2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9,024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1C8B55D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81,8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286830A8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3,8</w:t>
            </w:r>
          </w:p>
        </w:tc>
      </w:tr>
      <w:tr w:rsidR="00B14AE5" w:rsidRPr="00CC1F35" w14:paraId="4603115F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10EF6865" w14:textId="4122ED68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Норвегія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4B84AC8E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10,024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3BDC907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82,8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79EE6A5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4,4</w:t>
            </w:r>
          </w:p>
        </w:tc>
      </w:tr>
      <w:tr w:rsidR="00B14AE5" w:rsidRPr="00CC1F35" w14:paraId="2612B26F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7EBE43A6" w14:textId="6F2F7839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643624D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6,328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0C30884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77,7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CE7DCE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7,7</w:t>
            </w:r>
          </w:p>
        </w:tc>
      </w:tr>
      <w:tr w:rsidR="00B14AE5" w:rsidRPr="00CC1F35" w14:paraId="20EF335F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3654135B" w14:textId="00C43FC8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Португалія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52776B6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9,413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4A5FB34B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81,4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46E278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4,1</w:t>
            </w:r>
          </w:p>
        </w:tc>
      </w:tr>
      <w:tr w:rsidR="00B14AE5" w:rsidRPr="00CC1F35" w14:paraId="20AD4BCE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13928860" w14:textId="4A151B28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Словацька Республіка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77867B93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6,705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7D3FB92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77,4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0AEE5A9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11,1</w:t>
            </w:r>
          </w:p>
        </w:tc>
      </w:tr>
      <w:tr w:rsidR="00B14AE5" w:rsidRPr="00CC1F35" w14:paraId="2599B74F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3341D549" w14:textId="2357A634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Словенія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7FA014E0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8,279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3B4DE0E4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81,5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5B96D0F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</w:t>
            </w:r>
          </w:p>
        </w:tc>
      </w:tr>
      <w:tr w:rsidR="00B14AE5" w:rsidRPr="00CC1F35" w14:paraId="76A3DE64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151A29E5" w14:textId="4C2CDD7C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27C5E1A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8,99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6D6E84A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83,5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3E300D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</w:tr>
      <w:tr w:rsidR="00B14AE5" w:rsidRPr="00CC1F35" w14:paraId="48AF1AD1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07979B91" w14:textId="6FBDE33D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5E37B94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10,941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1ACAD99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82,6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7309592D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2,6</w:t>
            </w:r>
          </w:p>
        </w:tc>
      </w:tr>
      <w:tr w:rsidR="00B14AE5" w:rsidRPr="00CC1F35" w14:paraId="4119C0AE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00A4AD5B" w14:textId="055A0E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489B1EFA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11,151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02002907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83,8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B32A611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4,3</w:t>
            </w:r>
          </w:p>
        </w:tc>
      </w:tr>
      <w:tr w:rsidR="00B14AE5" w:rsidRPr="00CC1F35" w14:paraId="1F76FE2E" w14:textId="77777777" w:rsidTr="00B14E7A">
        <w:trPr>
          <w:trHeight w:val="227"/>
        </w:trPr>
        <w:tc>
          <w:tcPr>
            <w:tcW w:w="1143" w:type="pct"/>
            <w:shd w:val="clear" w:color="auto" w:fill="auto"/>
            <w:noWrap/>
            <w:hideMark/>
          </w:tcPr>
          <w:p w14:paraId="1401B046" w14:textId="2212598E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C1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FD437D6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5,316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14:paraId="2B6ECE62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72,8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4F03D92" w14:textId="77777777" w:rsidR="00B14AE5" w:rsidRPr="00CC1F35" w:rsidRDefault="00B14AE5" w:rsidP="00B14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9,8</w:t>
            </w:r>
          </w:p>
        </w:tc>
      </w:tr>
    </w:tbl>
    <w:p w14:paraId="3D68D55E" w14:textId="545DC88E" w:rsidR="00B41534" w:rsidRPr="00F56577" w:rsidRDefault="002802D5" w:rsidP="00DE2122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6577">
        <w:rPr>
          <w:rFonts w:ascii="Times New Roman" w:hAnsi="Times New Roman" w:cs="Times New Roman"/>
          <w:i/>
          <w:sz w:val="24"/>
          <w:szCs w:val="24"/>
          <w:lang w:val="uk-UA"/>
        </w:rPr>
        <w:t>Джерело: побудовано авторами на основі [6]</w:t>
      </w:r>
    </w:p>
    <w:p w14:paraId="6D8B7979" w14:textId="77777777" w:rsidR="00F56577" w:rsidRDefault="00F56577" w:rsidP="000E67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8EA32" w14:textId="5EDA4E9E" w:rsidR="000E6766" w:rsidRPr="00CC1F35" w:rsidRDefault="000E6766" w:rsidP="000E67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Ці показники 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підґрунтям для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ення ефективно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країн 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розрізі охорони здоров'я за допомогою програмного засобу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 Для проведення аналізу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розподілимо групи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країн на три рівні частини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акий розподіл дасть більш точну картину і 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 xml:space="preserve">дасть змогу 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>виділит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більше країн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високі показники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50280" w:rsidRPr="00CC1F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50280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розрізі вхідного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брано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витрати на охорону здоров'я,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 індикатори тривалості життя та використання охорони здоров'я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вихідними значеннями.</w:t>
      </w:r>
    </w:p>
    <w:p w14:paraId="4CBA4905" w14:textId="05B3A9ED" w:rsidR="001C4237" w:rsidRPr="00CC1F35" w:rsidRDefault="00FB5944" w:rsidP="00FB5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Першим етапом 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визначення ефективності 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коефіцієнт</w:t>
      </w:r>
      <w:r w:rsidR="00F565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кореляції 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вхідн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параметр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ом та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вихідними параметрами моделі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міри 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щільності</w:t>
      </w:r>
      <w:r w:rsidR="001C423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зв’язку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одного параметра з іншим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(1):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543"/>
      </w:tblGrid>
      <w:tr w:rsidR="00AE1A1E" w:rsidRPr="00CC1F35" w14:paraId="3C4F8F8E" w14:textId="77777777" w:rsidTr="00F56577">
        <w:tc>
          <w:tcPr>
            <w:tcW w:w="9311" w:type="dxa"/>
            <w:vAlign w:val="center"/>
          </w:tcPr>
          <w:p w14:paraId="1C01460B" w14:textId="1820CCBB" w:rsidR="00AE1A1E" w:rsidRPr="00CC1F35" w:rsidRDefault="00AE1A1E" w:rsidP="00F71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Correl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)(y-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)</m:t>
                      </m:r>
                    </m:e>
                  </m:nary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uk-UA"/>
                                </w:rPr>
                                <m:t>(x-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uk-UA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m:t>(y-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y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rad>
                </m:den>
              </m:f>
            </m:oMath>
            <w:r w:rsidR="00F711A7" w:rsidRPr="00CC1F3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543" w:type="dxa"/>
            <w:vAlign w:val="center"/>
          </w:tcPr>
          <w:p w14:paraId="77E8E2BE" w14:textId="56062D3B" w:rsidR="00AE1A1E" w:rsidRPr="00CC1F35" w:rsidRDefault="00AE1A1E" w:rsidP="00F711A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(1)</w:t>
            </w:r>
          </w:p>
        </w:tc>
      </w:tr>
    </w:tbl>
    <w:p w14:paraId="243A4386" w14:textId="490CE7E2" w:rsidR="00FB5944" w:rsidRPr="00CC1F35" w:rsidRDefault="00F711A7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34343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</w:t>
      </w:r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>ередні</w:t>
      </w:r>
      <w:r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</w:t>
      </w:r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вибірок масив</w:t>
      </w:r>
      <w:r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x </w:t>
      </w:r>
      <w:r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>та</w:t>
      </w:r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масив</w:t>
      </w:r>
      <w:r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="00634343" w:rsidRPr="00CC1F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y.</w:t>
      </w:r>
      <w:r w:rsidR="00FB5944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727AF" w14:textId="1CBD03C9" w:rsidR="00B046B7" w:rsidRPr="00CC1F35" w:rsidRDefault="00FB5944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корельований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зв'язок дорівнює 0</w:t>
      </w:r>
      <w:r w:rsidR="00F711A7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то зміна вхідного параметра не змінює значення вихідного.</w:t>
      </w:r>
    </w:p>
    <w:p w14:paraId="0E298F3A" w14:textId="22DDBC58" w:rsidR="000E6766" w:rsidRPr="00CC1F35" w:rsidRDefault="00F711A7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складу перших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12 країн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входять</w:t>
      </w:r>
      <w:r w:rsidR="001D58C8" w:rsidRPr="00CC1F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58C8" w:rsidRPr="00CC1F35">
        <w:rPr>
          <w:lang w:val="uk-UA"/>
        </w:rPr>
        <w:t xml:space="preserve"> </w:t>
      </w:r>
      <w:r w:rsidR="001D58C8" w:rsidRPr="00CC1F35">
        <w:rPr>
          <w:rFonts w:ascii="Times New Roman" w:hAnsi="Times New Roman" w:cs="Times New Roman"/>
          <w:sz w:val="28"/>
          <w:szCs w:val="28"/>
          <w:lang w:val="uk-UA"/>
        </w:rPr>
        <w:t>Австралія, Австрія, Бельгія, Канада, Чилі, Колумбія, Коста-Ріка, Чеська Республіка, Данія, Естонія, Фінляндія, Франція.</w:t>
      </w:r>
    </w:p>
    <w:p w14:paraId="1CE7E80D" w14:textId="0C8088CE" w:rsidR="000E6766" w:rsidRPr="00CC1F35" w:rsidRDefault="00F711A7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Значення коефіцієнт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кореляції між </w:t>
      </w:r>
      <w:r w:rsidR="002508C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індикаторами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итрат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здоров'я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тривалості життя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9B413A" w:rsidRPr="00CC1F3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та 0,34 – між </w:t>
      </w:r>
      <w:r w:rsidR="002508C7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індикаторами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витрат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здоров'я та використання охорони здоров'я</w:t>
      </w:r>
    </w:p>
    <w:p w14:paraId="5F676664" w14:textId="46C3D14B" w:rsidR="000E6766" w:rsidRPr="00CC1F35" w:rsidRDefault="00F711A7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Аналогічні розрахунки були проведені щодо значень коефіцієнт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кореляції між зазначеними індикаторами ефективності системи охорони здоров’я в розріз</w:t>
      </w:r>
      <w:r w:rsidR="002508C7" w:rsidRPr="00CC1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другої та третьої груп країн. Так, до складу д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руг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ої групи списку досліджуваних країн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1D58C8" w:rsidRPr="00CC1F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58C8" w:rsidRPr="00CC1F35">
        <w:rPr>
          <w:lang w:val="uk-UA"/>
        </w:rPr>
        <w:t xml:space="preserve"> </w:t>
      </w:r>
      <w:r w:rsidR="001D58C8" w:rsidRPr="00CC1F35">
        <w:rPr>
          <w:rFonts w:ascii="Times New Roman" w:hAnsi="Times New Roman" w:cs="Times New Roman"/>
          <w:sz w:val="28"/>
          <w:szCs w:val="28"/>
          <w:lang w:val="uk-UA"/>
        </w:rPr>
        <w:t>Німеччина, Греція, Угорщина, Ісландія, Ірландія, Ізраїль, Італія, Японія, Корея, Латвія, Литва, Люксембург.</w:t>
      </w:r>
    </w:p>
    <w:p w14:paraId="7CE9DC96" w14:textId="4173235C" w:rsidR="000E6766" w:rsidRPr="00CC1F35" w:rsidRDefault="002508C7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Значення коефіцієнтів кореляції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Correl</m:t>
        </m:r>
      </m:oMath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0,45 – між показниками в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итрат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та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тривалості життя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та 0,29 – між показниками витрат 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здоров'я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викор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истання охорони здоров'я.</w:t>
      </w:r>
    </w:p>
    <w:p w14:paraId="18985EC7" w14:textId="4B86DB27" w:rsidR="000E6766" w:rsidRPr="00CC1F35" w:rsidRDefault="00531941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Для третьої групи країн дослідження, до якої належать</w:t>
      </w:r>
      <w:r w:rsidR="001D58C8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Мексика, Нідерланди, Нова Зеландія, Норвегія, Польща, Португалія, Словацька Республіка, Словенія, Іспанія, Швеція, Швейцарія, Росія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маємо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значення: </w:t>
      </w:r>
      <w:proofErr w:type="spellStart"/>
      <w:r w:rsidRPr="00CC1F35">
        <w:rPr>
          <w:rFonts w:ascii="Times New Roman" w:hAnsi="Times New Roman" w:cs="Times New Roman"/>
          <w:i/>
          <w:sz w:val="28"/>
          <w:szCs w:val="28"/>
          <w:lang w:val="uk-UA"/>
        </w:rPr>
        <w:t>Correl</w:t>
      </w:r>
      <w:proofErr w:type="spellEnd"/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0.93 та </w:t>
      </w:r>
      <w:proofErr w:type="spellStart"/>
      <w:r w:rsidRPr="00CC1F35">
        <w:rPr>
          <w:rFonts w:ascii="Times New Roman" w:hAnsi="Times New Roman" w:cs="Times New Roman"/>
          <w:i/>
          <w:sz w:val="28"/>
          <w:szCs w:val="28"/>
          <w:lang w:val="uk-UA"/>
        </w:rPr>
        <w:t>Correl</w:t>
      </w:r>
      <w:proofErr w:type="spellEnd"/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= -0,41 – щільність зв’</w:t>
      </w:r>
      <w:r w:rsidR="000441E8" w:rsidRPr="00CC1F35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між показниками витрат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та тривалості життя, між показниками витрат 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охорон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CF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та використання охорони здоров'я відповідно.</w:t>
      </w:r>
    </w:p>
    <w:p w14:paraId="16CC5D16" w14:textId="37C18447" w:rsidR="000E6766" w:rsidRPr="00CC1F35" w:rsidRDefault="003E1C64" w:rsidP="00CD4C76">
      <w:pPr>
        <w:spacing w:after="0" w:line="34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>На другому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E45" w:rsidRPr="00CC1F35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</w:t>
      </w:r>
      <w:r w:rsidR="00D5131B" w:rsidRPr="00CC1F35"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фронтірні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діаграми (рис. 1</w:t>
      </w:r>
      <w:r w:rsidR="00312E1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3),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C76" w:rsidRPr="00CC1F35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двовимірни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CD4C76" w:rsidRPr="00CC1F3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одиничної ефективності. Візуалізація дає можливість наочно виявити</w:t>
      </w:r>
      <w:r w:rsidR="00CD4C76" w:rsidRPr="00CC1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відрізняє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ться розташування країн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учасни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ць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дослідження порівнян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один з одним, </w:t>
      </w:r>
      <w:r w:rsidR="00CD4C7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кордон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найкращ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елемент</w:t>
      </w:r>
      <w:r w:rsidR="00630F4E">
        <w:rPr>
          <w:rFonts w:ascii="Times New Roman" w:hAnsi="Times New Roman" w:cs="Times New Roman"/>
          <w:sz w:val="28"/>
          <w:szCs w:val="28"/>
          <w:lang w:val="uk-UA"/>
        </w:rPr>
        <w:t xml:space="preserve">ом у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виборці.</w:t>
      </w:r>
    </w:p>
    <w:p w14:paraId="31816296" w14:textId="4F63D27A" w:rsidR="00CE073C" w:rsidRDefault="003843E7" w:rsidP="00CD4C76">
      <w:pPr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noProof/>
          <w:lang w:val="uk-UA" w:eastAsia="ru-RU"/>
        </w:rPr>
        <w:lastRenderedPageBreak/>
        <w:drawing>
          <wp:inline distT="0" distB="0" distL="0" distR="0" wp14:anchorId="310B702C" wp14:editId="4A2EFDC3">
            <wp:extent cx="6120130" cy="326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"/>
                    <a:stretch/>
                  </pic:blipFill>
                  <pic:spPr bwMode="auto">
                    <a:xfrm>
                      <a:off x="0" y="0"/>
                      <a:ext cx="612013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073C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CE073C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Фронтірна діаграма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</w:t>
      </w:r>
    </w:p>
    <w:p w14:paraId="438E6A49" w14:textId="77777777" w:rsidR="00630F4E" w:rsidRPr="00CC1F35" w:rsidRDefault="00630F4E" w:rsidP="00CD4C76">
      <w:pPr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1DD7C31" w14:textId="1C5E3964" w:rsidR="00CE073C" w:rsidRPr="00CC1F35" w:rsidRDefault="00453A98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noProof/>
          <w:lang w:val="uk-UA" w:eastAsia="ru-RU"/>
        </w:rPr>
        <w:drawing>
          <wp:inline distT="0" distB="0" distL="0" distR="0" wp14:anchorId="42B820F4" wp14:editId="1A113284">
            <wp:extent cx="6120130" cy="31870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2"/>
                    <a:stretch/>
                  </pic:blipFill>
                  <pic:spPr bwMode="auto">
                    <a:xfrm>
                      <a:off x="0" y="0"/>
                      <a:ext cx="612013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0E5AA" w14:textId="54E32463" w:rsidR="00CE073C" w:rsidRPr="00CC1F35" w:rsidRDefault="00CE073C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583EB4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Фронтірна діаграма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>ІІ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 </w:t>
      </w:r>
    </w:p>
    <w:p w14:paraId="20D2DF64" w14:textId="77D63E0C" w:rsidR="00CE073C" w:rsidRPr="00CC1F35" w:rsidRDefault="00B12DCF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noProof/>
          <w:lang w:val="uk-UA" w:eastAsia="ru-RU"/>
        </w:rPr>
        <w:lastRenderedPageBreak/>
        <w:drawing>
          <wp:inline distT="0" distB="0" distL="0" distR="0" wp14:anchorId="6FD1BFBE" wp14:editId="434EBD91">
            <wp:extent cx="6120130" cy="3185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"/>
                    <a:stretch/>
                  </pic:blipFill>
                  <pic:spPr bwMode="auto">
                    <a:xfrm>
                      <a:off x="0" y="0"/>
                      <a:ext cx="612013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A7868" w14:textId="474076B3" w:rsidR="00CE073C" w:rsidRPr="00CC1F35" w:rsidRDefault="00CE073C" w:rsidP="00DE2122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583EB4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Фронтірна діаграма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>ІІІ</w:t>
      </w:r>
      <w:r w:rsidR="004C084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</w:t>
      </w:r>
    </w:p>
    <w:p w14:paraId="24C864C2" w14:textId="77777777" w:rsidR="00CD4C76" w:rsidRPr="00CC1F35" w:rsidRDefault="00CD4C76" w:rsidP="00583EB4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4A15334F" w14:textId="4C8B69F8" w:rsidR="007A72C3" w:rsidRPr="00CC1F35" w:rsidRDefault="00583EB4" w:rsidP="00583EB4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EF6DC4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630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D5131B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набором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 12 країн відображено</w:t>
      </w:r>
      <w:r w:rsidR="00D5131B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Чеська Республіка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Естонія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утворюють кордон</w:t>
      </w:r>
      <w:r w:rsidR="00D5131B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у смугу граничної ефективності</w:t>
      </w:r>
      <w:r w:rsidR="00D5131B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131B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решта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країн розподілені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ефективн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істю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використаних ресурсів для задоволення глобальної стратегії розвитку. На </w:t>
      </w:r>
      <w:r w:rsidR="00EF6DC4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раничну ефективність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розрізі другої групи країн дослідження утворюють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Люксембург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Корея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(рис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2).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ордонна смуга для третьої групи країн дослідження припадає на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Росі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4F00D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Мексик</w:t>
      </w:r>
      <w:r w:rsidR="00CD4C76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у (рис. 3)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9EE8E71" w14:textId="40A77F17" w:rsidR="001B4913" w:rsidRPr="00CC1F35" w:rsidRDefault="001B4913" w:rsidP="001B4913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Третім етапом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визначення рівня задоволеності населення України </w:t>
      </w:r>
      <w:r w:rsidR="00546B0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реформою в галузі охорони здоров’я та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якістю отриманих послуг 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час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зверненн</w:t>
      </w:r>
      <w:r w:rsidR="00610E3E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лікарів як фактора, що характеризує ступінь використання охорони здоров’я, проведено порівняльний аналіз індикаторів</w:t>
      </w:r>
      <w:r w:rsidR="00AE335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[8]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Pr="00CC1F35">
        <w:rPr>
          <w:lang w:val="uk-UA"/>
        </w:rPr>
        <w:t xml:space="preserve">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A1.1 – задоволення медичною допомогою, яка надається дільничними терапевтами/сімейними лікарями; A1.2 – задоволення медичною допомогою, яка надається педіатрами; A1.3 – задоволення медичною допомогою, яка надається стоматологами; A1.4 – задоволення медичною допомогою, яка надається вузькими спеціалістами в поліклініці; A1.5 –  задоволення медичною допомогою, яка надається швидкою медичною допомогою; A1.6 – задоволення медичною допомогою, яка надається в стаціонарі; A1.7 – задоволення медичною допомогою, яка надається в пологових будинках</w:t>
      </w:r>
      <w:r w:rsidR="00546B0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(рис. 4)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Статистичною базою для проведення дослідження послугували дані, що зібрані </w:t>
      </w:r>
      <w:r w:rsidRPr="00CC1F35">
        <w:rPr>
          <w:rFonts w:ascii="Times New Roman" w:hAnsi="Times New Roman"/>
          <w:sz w:val="28"/>
          <w:szCs w:val="28"/>
          <w:lang w:val="uk-UA"/>
        </w:rPr>
        <w:t>Київським міжнародним інститутом соціології протягом червня – серпня 2019 р</w:t>
      </w:r>
      <w:r w:rsidR="00216F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/>
          <w:sz w:val="28"/>
          <w:szCs w:val="28"/>
          <w:lang w:val="uk-UA"/>
        </w:rPr>
        <w:t>для проведення  соціологічного дослідження «Індекс здоров’я. Україна»</w:t>
      </w:r>
      <w:r w:rsidR="00546B0A" w:rsidRPr="00CC1F35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E3352" w:rsidRPr="00CC1F35">
        <w:rPr>
          <w:rFonts w:ascii="Times New Roman" w:hAnsi="Times New Roman"/>
          <w:sz w:val="28"/>
          <w:szCs w:val="28"/>
          <w:lang w:val="uk-UA"/>
        </w:rPr>
        <w:t>9</w:t>
      </w:r>
      <w:r w:rsidR="00546B0A" w:rsidRPr="00CC1F35">
        <w:rPr>
          <w:rFonts w:ascii="Times New Roman" w:hAnsi="Times New Roman"/>
          <w:sz w:val="28"/>
          <w:szCs w:val="28"/>
          <w:lang w:val="uk-UA"/>
        </w:rPr>
        <w:t>]</w:t>
      </w:r>
      <w:r w:rsidRPr="00CC1F35">
        <w:rPr>
          <w:rFonts w:ascii="Times New Roman" w:hAnsi="Times New Roman"/>
          <w:sz w:val="28"/>
          <w:szCs w:val="28"/>
          <w:lang w:val="uk-UA"/>
        </w:rPr>
        <w:t>.</w:t>
      </w:r>
    </w:p>
    <w:p w14:paraId="58D3C6CE" w14:textId="4DD719E3" w:rsidR="007B0C82" w:rsidRPr="00CC1F35" w:rsidRDefault="00C277EC" w:rsidP="0009101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6A93E020" wp14:editId="11B4D090">
            <wp:extent cx="6433185" cy="284058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40" cy="285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A2DB3" w14:textId="70C97227" w:rsidR="007B0C82" w:rsidRPr="00CC1F35" w:rsidRDefault="007B0C82" w:rsidP="007B0C82">
      <w:pPr>
        <w:spacing w:after="0" w:line="36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задоволення роботою медичного персоналу в різних сферах</w:t>
      </w:r>
      <w:r w:rsidR="007044A9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реформою</w:t>
      </w:r>
    </w:p>
    <w:p w14:paraId="7B2D48AA" w14:textId="77777777" w:rsidR="00216FDC" w:rsidRDefault="00216FDC" w:rsidP="0009101D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797E51" w14:textId="37FE4476" w:rsidR="009B3AAA" w:rsidRPr="00CC1F35" w:rsidRDefault="00216FDC" w:rsidP="0009101D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Із </w:t>
      </w:r>
      <w:r w:rsidR="00EF6DC4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видно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середнє значення 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рівн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Зовсім не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задоволений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населення має 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15,5%. Рівень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Скоріше не задоволений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5675F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опитуваних респондентів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становить у 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середньому 19,4%.</w:t>
      </w:r>
      <w:r w:rsidR="007B0C82" w:rsidRPr="00CC1F35">
        <w:rPr>
          <w:lang w:val="uk-UA"/>
        </w:rPr>
        <w:t xml:space="preserve"> </w:t>
      </w:r>
      <w:r w:rsidR="00D1303A" w:rsidRPr="00CC1F35">
        <w:rPr>
          <w:lang w:val="uk-UA"/>
        </w:rPr>
        <w:t xml:space="preserve">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Середнє значення р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Скоріше задоволений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</w:t>
      </w:r>
      <w:r w:rsidR="008B408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43,2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%.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Цілком задоволені якістю медичного обслуговування </w:t>
      </w:r>
      <w:r w:rsidR="008B4088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21,8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%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опитуваних респондентів</w:t>
      </w:r>
      <w:r w:rsidR="007B0C82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Проте ставлення до реформи значн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ою мірою відрізняється, а саме: відповіді «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не задоволений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» надали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42,1%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опитуваних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скоріше не задоволений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– 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25,0%,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скоріше задоволений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– 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23,4%,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цілком задоволений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</w:t>
      </w:r>
      <w:r w:rsidR="0009101D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9,5%.</w:t>
      </w:r>
      <w:r w:rsidR="00D1303A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606A626" w14:textId="3B0249B5" w:rsidR="00D1303A" w:rsidRPr="00CC1F35" w:rsidRDefault="00D1303A" w:rsidP="0009101D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Отримані результати свідчать про необхідність 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керівництву системи охорони здоров’я України провести на національному, регіональному та місцевому рівнях р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етельн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ня особливостей 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провадження та використання реформи охорони здоров’я 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здійснити грунтовний аналіз особливостей систем охорони здоров’я так званих «еталонних» країн</w:t>
      </w:r>
      <w:r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>з метою по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ліпшення 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індикаторів ступеня задоволеності населення та відповідно підвищення рівня економіки </w:t>
      </w:r>
      <w:r w:rsidR="00216FDC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A3A5E" w:rsidRPr="00CC1F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цілому. </w:t>
      </w:r>
    </w:p>
    <w:p w14:paraId="23642034" w14:textId="3DD76FCF" w:rsidR="00203F2F" w:rsidRPr="00CC1F35" w:rsidRDefault="00C203B6" w:rsidP="000E67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роботі здійснено </w:t>
      </w:r>
      <w:proofErr w:type="spellStart"/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>фронтірний</w:t>
      </w:r>
      <w:proofErr w:type="spellEnd"/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 країн, що входять до складу Організації економічного співробітництва та розвитку, з метою визначення країн-еталонів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розрізі якості системи охорони здоров’я.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аналізу в 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>програмі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Analyst</w:t>
      </w:r>
      <w:proofErr w:type="spellEnd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>поділ країн на три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підгрупи для якісного аналізу та виділенн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>з високими показниками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системи охорони здоров’я</w:t>
      </w:r>
      <w:r w:rsidR="00B853C0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C7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розрізі кожної групи виділено дві країни, які утворили 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кордон ефективності. 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>фронтірн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змогу 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візуал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>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676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яка країна відстає від еталона серед обмеженого списку країн. 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рім того,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3F2F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роботі обґрунтовано нагальну необхідність удосконалення реформи охорони здоров’я України на основі порівняльного аналізу щодо її якості та ступеня задоволеності населення отриманими медичними послугами.</w:t>
      </w:r>
    </w:p>
    <w:p w14:paraId="3C0D407E" w14:textId="0A98CFAF" w:rsidR="00A65318" w:rsidRPr="00CC1F35" w:rsidRDefault="00203F2F" w:rsidP="000E67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9537C2" w14:textId="68E0FEEC" w:rsidR="001B7AD7" w:rsidRPr="00CC1F35" w:rsidRDefault="00D54685" w:rsidP="001B7AD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b/>
          <w:bCs/>
          <w:color w:val="221E1F"/>
          <w:sz w:val="28"/>
          <w:szCs w:val="28"/>
          <w:lang w:val="uk-UA"/>
        </w:rPr>
        <w:t>Б</w:t>
      </w:r>
      <w:r w:rsidR="00C203B6" w:rsidRPr="00CC1F35">
        <w:rPr>
          <w:rFonts w:ascii="Times New Roman" w:hAnsi="Times New Roman" w:cs="Times New Roman"/>
          <w:b/>
          <w:bCs/>
          <w:color w:val="221E1F"/>
          <w:sz w:val="28"/>
          <w:szCs w:val="28"/>
          <w:lang w:val="uk-UA"/>
        </w:rPr>
        <w:t>ібліографічний список</w:t>
      </w:r>
      <w:r w:rsidRPr="00CC1F35">
        <w:rPr>
          <w:rFonts w:ascii="Times New Roman" w:hAnsi="Times New Roman" w:cs="Times New Roman"/>
          <w:b/>
          <w:bCs/>
          <w:color w:val="221E1F"/>
          <w:sz w:val="28"/>
          <w:szCs w:val="28"/>
          <w:lang w:val="uk-UA"/>
        </w:rPr>
        <w:t>:</w:t>
      </w:r>
    </w:p>
    <w:p w14:paraId="030C9908" w14:textId="7A80A087" w:rsidR="009F49DC" w:rsidRPr="00CC1F35" w:rsidRDefault="00DC6C9D" w:rsidP="006D02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Лєонов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F034A" w:rsidRPr="00CC1F3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, Васильєва Т.</w:t>
      </w:r>
      <w:r w:rsidR="00EF034A" w:rsidRPr="00CC1F3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, Буряк А.</w:t>
      </w:r>
      <w:r w:rsidR="00EF034A" w:rsidRPr="00CC1F3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банківського бізнесу в Україні: стохастичний </w:t>
      </w:r>
      <w:proofErr w:type="spellStart"/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фронтірний</w:t>
      </w:r>
      <w:proofErr w:type="spellEnd"/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49DC" w:rsidRPr="00C203B6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Національного банку України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>. 2013. № 6. С. 19</w:t>
      </w:r>
      <w:r w:rsidR="00C203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9F49DC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="009F49DC" w:rsidRPr="00CC1F35">
          <w:rPr>
            <w:rFonts w:ascii="Times New Roman" w:hAnsi="Times New Roman" w:cs="Times New Roman"/>
            <w:sz w:val="28"/>
            <w:szCs w:val="28"/>
            <w:lang w:val="uk-UA"/>
          </w:rPr>
          <w:t>http://nbuv.gov.ua/UJRN/Vnbu_2013_6_10</w:t>
        </w:r>
      </w:hyperlink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25.08.2021).</w:t>
      </w:r>
    </w:p>
    <w:p w14:paraId="6575DA03" w14:textId="24C57E74" w:rsidR="00C0113B" w:rsidRPr="00CC1F35" w:rsidRDefault="00C0113B" w:rsidP="006D02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Lisec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Hugo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P., Seidel-Morgenstern A.,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adsorption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isotherms</w:t>
      </w:r>
      <w:proofErr w:type="spellEnd"/>
      <w:r w:rsidR="00D37C5D" w:rsidRPr="00CC1F35">
        <w:rPr>
          <w:rFonts w:ascii="Times New Roman" w:hAnsi="Times New Roman" w:cs="Times New Roman"/>
          <w:sz w:val="28"/>
          <w:szCs w:val="28"/>
          <w:lang w:val="uk-UA"/>
        </w:rPr>
        <w:t>. URL:</w:t>
      </w:r>
      <w:r w:rsidR="00DC6C9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DC6C9D" w:rsidRPr="00CC1F35">
          <w:rPr>
            <w:rFonts w:ascii="Times New Roman" w:hAnsi="Times New Roman" w:cs="Times New Roman"/>
            <w:sz w:val="28"/>
            <w:szCs w:val="28"/>
            <w:lang w:val="uk-UA"/>
          </w:rPr>
          <w:t>https://www.sciencedirect.com/science/article/pii/S0021967300009663</w:t>
        </w:r>
      </w:hyperlink>
      <w:r w:rsidR="00DC6C9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25.08.2021).</w:t>
      </w:r>
    </w:p>
    <w:p w14:paraId="20F664E8" w14:textId="18779BCC" w:rsidR="006D0256" w:rsidRPr="00CC1F35" w:rsidRDefault="006D0256" w:rsidP="006D02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М.П., Долото В.Д. Здоров’я як економічна категорія. </w:t>
      </w:r>
      <w:r w:rsidRPr="00C203B6">
        <w:rPr>
          <w:rFonts w:ascii="Times New Roman" w:hAnsi="Times New Roman" w:cs="Times New Roman"/>
          <w:i/>
          <w:sz w:val="28"/>
          <w:szCs w:val="28"/>
          <w:lang w:val="uk-UA"/>
        </w:rPr>
        <w:t>Економічна наука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C20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3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С. 29</w:t>
      </w:r>
      <w:r w:rsidR="00C203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31. URL: http://www.economy.in.ua/pdf/4_2017/7.pdf (дата звернення: 27.08.2021)</w:t>
      </w:r>
      <w:r w:rsidR="00682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FDE27D" w14:textId="7010E2F7" w:rsidR="0044100D" w:rsidRPr="00CC1F35" w:rsidRDefault="000F04A3" w:rsidP="0044100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Коломієць Ю.,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Ю. Теорія людського капіталу. Заохочення та критика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100D" w:rsidRPr="00682228">
        <w:rPr>
          <w:rFonts w:ascii="Times New Roman" w:hAnsi="Times New Roman" w:cs="Times New Roman"/>
          <w:i/>
          <w:sz w:val="28"/>
          <w:szCs w:val="28"/>
          <w:lang w:val="uk-UA"/>
        </w:rPr>
        <w:t>Соціально-економічні виклики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. 2017. №</w:t>
      </w:r>
      <w:r w:rsidR="0068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1(1). С. 77</w:t>
      </w:r>
      <w:r w:rsidR="006822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80. http://doi.org/10.21272/sec.2017.1-09 (дата звернення: 27.08.2021).</w:t>
      </w:r>
    </w:p>
    <w:p w14:paraId="41BA5A6D" w14:textId="36800591" w:rsidR="0044100D" w:rsidRPr="00CC1F35" w:rsidRDefault="001D6798" w:rsidP="0044100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Келюотит-Станюленієне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Даунаравічюте</w:t>
      </w:r>
      <w:proofErr w:type="spellEnd"/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Глобальний ринок зелених облігацій в умовах пандемії COVID-19. </w:t>
      </w:r>
      <w:r w:rsidR="0044100D" w:rsidRPr="001D6798">
        <w:rPr>
          <w:rFonts w:ascii="Times New Roman" w:hAnsi="Times New Roman" w:cs="Times New Roman"/>
          <w:i/>
          <w:sz w:val="28"/>
          <w:szCs w:val="28"/>
          <w:lang w:val="uk-UA"/>
        </w:rPr>
        <w:t>Фінансові ринки, інституції та ризики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>. 2021. № 5(1). С. 50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60. </w:t>
      </w:r>
      <w:hyperlink r:id="rId13" w:tgtFrame="_blank" w:history="1">
        <w:r w:rsidR="0044100D" w:rsidRPr="00CC1F35">
          <w:rPr>
            <w:rFonts w:ascii="Times New Roman" w:hAnsi="Times New Roman" w:cs="Times New Roman"/>
            <w:sz w:val="28"/>
            <w:szCs w:val="28"/>
            <w:lang w:val="uk-UA"/>
          </w:rPr>
          <w:t>https://doi.org/10.21272/fmir.5(1).50-60.2021</w:t>
        </w:r>
      </w:hyperlink>
      <w:r w:rsidR="0044100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27.08.2021).</w:t>
      </w:r>
    </w:p>
    <w:p w14:paraId="33467A99" w14:textId="68624FDC" w:rsidR="00C0113B" w:rsidRPr="00CC1F35" w:rsidRDefault="00DC6C9D" w:rsidP="006D02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OECD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statistics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 URL:</w:t>
      </w:r>
      <w:r w:rsidR="001D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CC1F35">
          <w:rPr>
            <w:rFonts w:ascii="Times New Roman" w:hAnsi="Times New Roman" w:cs="Times New Roman"/>
            <w:sz w:val="28"/>
            <w:szCs w:val="28"/>
            <w:lang w:val="uk-UA"/>
          </w:rPr>
          <w:t>https://www.oecd.org/sdd/OECD-Work-on-Statistics-brochure2013.pdf</w:t>
        </w:r>
      </w:hyperlink>
      <w:r w:rsidR="00C0113B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(дата звернення: 25.08.2021).</w:t>
      </w:r>
    </w:p>
    <w:p w14:paraId="2E7A43AC" w14:textId="1E9E9001" w:rsidR="001B4913" w:rsidRPr="00CC1F35" w:rsidRDefault="00DC6C9D" w:rsidP="001B491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AnalystData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Envelopment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software</w:t>
      </w:r>
      <w:proofErr w:type="spellEnd"/>
      <w:r w:rsidR="001D6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5" w:history="1">
        <w:r w:rsidRPr="00CC1F35">
          <w:rPr>
            <w:rFonts w:ascii="Times New Roman" w:hAnsi="Times New Roman" w:cs="Times New Roman"/>
            <w:sz w:val="28"/>
            <w:szCs w:val="28"/>
            <w:lang w:val="uk-UA"/>
          </w:rPr>
          <w:t>https://banxia.com/frontier/</w:t>
        </w:r>
      </w:hyperlink>
      <w:r w:rsidR="00D37C5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(дата звернення: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25.08.2021).</w:t>
      </w:r>
    </w:p>
    <w:p w14:paraId="4AB4A09C" w14:textId="44072B1D" w:rsidR="00546B0A" w:rsidRPr="00CC1F35" w:rsidRDefault="00546B0A" w:rsidP="00546B0A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</w:pPr>
      <w:r w:rsidRPr="00CC1F35">
        <w:rPr>
          <w:rFonts w:ascii="Times New Roman" w:hAnsi="Times New Roman"/>
          <w:sz w:val="28"/>
          <w:szCs w:val="28"/>
          <w:lang w:val="uk-UA"/>
        </w:rPr>
        <w:t xml:space="preserve">Закон України «Про державні фінансові гарантії медичного обслуговування населення». </w:t>
      </w:r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URL: https://zakon.rada.gov.ua/laws/show/2168-19#Text (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дата звернення: 11.08.2021</w:t>
      </w:r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)</w:t>
      </w:r>
      <w:r w:rsidR="001D6798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.</w:t>
      </w:r>
    </w:p>
    <w:p w14:paraId="072DDFAB" w14:textId="620DCC94" w:rsidR="001B4913" w:rsidRPr="00CC1F35" w:rsidRDefault="001B4913" w:rsidP="001B491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Індекс здоров’я. Україна. URL: </w:t>
      </w:r>
      <w:hyperlink r:id="rId16" w:history="1">
        <w:r w:rsidRPr="00CC1F35">
          <w:rPr>
            <w:rFonts w:ascii="Times New Roman" w:hAnsi="Times New Roman" w:cs="Times New Roman"/>
            <w:sz w:val="28"/>
            <w:szCs w:val="28"/>
            <w:lang w:val="uk-UA"/>
          </w:rPr>
          <w:t>http://health-index.com.ua/reports</w:t>
        </w:r>
      </w:hyperlink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13.08.2021).</w:t>
      </w:r>
    </w:p>
    <w:p w14:paraId="229F7A49" w14:textId="77777777" w:rsidR="001B4913" w:rsidRPr="00CC1F35" w:rsidRDefault="001B4913" w:rsidP="001B4913">
      <w:pPr>
        <w:pStyle w:val="a7"/>
        <w:spacing w:after="0" w:line="360" w:lineRule="auto"/>
        <w:ind w:left="8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1029BA" w14:textId="0B475840" w:rsidR="001B7AD7" w:rsidRPr="00CC1F35" w:rsidRDefault="00D54685" w:rsidP="001B4913">
      <w:pPr>
        <w:pStyle w:val="a7"/>
        <w:spacing w:after="0" w:line="360" w:lineRule="auto"/>
        <w:ind w:left="8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R</w:t>
      </w:r>
      <w:bookmarkStart w:id="1" w:name="_GoBack"/>
      <w:r w:rsidR="001D6798"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eferences</w:t>
      </w:r>
      <w:bookmarkEnd w:id="1"/>
      <w:proofErr w:type="spellEnd"/>
      <w:r w:rsidRPr="00CC1F3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2FA00F6" w14:textId="7D43DDBC" w:rsidR="00DC6C9D" w:rsidRPr="00CC1F35" w:rsidRDefault="00EF034A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Leonov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S.V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Vasilieva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T.A,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Buryak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A.V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banking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stochastic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2013. № 6.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 19–25. URL: http://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nbuv.gov.ua/UJRN/Vnbu_2013_6_10.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: 25.08.2021).</w:t>
      </w:r>
    </w:p>
    <w:p w14:paraId="0F484524" w14:textId="6C469769" w:rsidR="00DC6C9D" w:rsidRPr="00CC1F35" w:rsidRDefault="00DC6C9D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Lisec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Hugo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P., Seidel-Morgenstern A.,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adsorption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isotherms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. URL: https://www.sciencedirect.com/science/article/pii/S0021967300009663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ccessed</w:t>
      </w:r>
      <w:proofErr w:type="spellEnd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25.08.2021)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503D60" w14:textId="31BF8798" w:rsidR="006D0256" w:rsidRPr="00CC1F35" w:rsidRDefault="006D0256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Denysenko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M., &amp; 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Dolot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category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, 2017. #4. P. 29-31. URL: http://www.economy.in.ua/pdf/4_2017/7.pdf (</w:t>
      </w:r>
      <w:proofErr w:type="spellStart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ccessed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27.08.2021)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5E29C4" w14:textId="77777777" w:rsidR="000F04A3" w:rsidRPr="00CC1F35" w:rsidRDefault="000F04A3" w:rsidP="000F04A3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lastRenderedPageBreak/>
        <w:t>Kolomiiets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U.,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Petrushenko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(2017).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Encouragement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criticism. </w:t>
      </w:r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So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cioEconomic </w:t>
      </w:r>
      <w:proofErr w:type="spellStart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Challenges</w:t>
      </w:r>
      <w:proofErr w:type="spellEnd"/>
      <w:r w:rsidRPr="00CC1F35">
        <w:rPr>
          <w:rFonts w:ascii="Times New Roman" w:hAnsi="Times New Roman" w:cs="Times New Roman"/>
          <w:i/>
          <w:iCs/>
          <w:sz w:val="28"/>
          <w:szCs w:val="28"/>
          <w:lang w:val="uk-UA"/>
        </w:rPr>
        <w:t>, 1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(1), 77-80. http://doi.org/10.21272/sec.2017.1-09.</w:t>
      </w:r>
      <w:r w:rsidR="00DC6C9D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27.08.2021).</w:t>
      </w:r>
    </w:p>
    <w:p w14:paraId="4B344510" w14:textId="6BF076A9" w:rsidR="0044100D" w:rsidRPr="00CC1F35" w:rsidRDefault="0044100D" w:rsidP="0044100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Keliuotytė-Staniulėnienė, G.,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Daunaravičiūtė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K. (2021).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Bond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Face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Pandemic. Financia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l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Markets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Risks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>, 5(1), 50-60. </w:t>
      </w:r>
      <w:hyperlink r:id="rId17" w:tgtFrame="_blank" w:history="1">
        <w:r w:rsidRPr="00CC1F35">
          <w:rPr>
            <w:rFonts w:ascii="Times New Roman" w:hAnsi="Times New Roman" w:cs="Times New Roman"/>
            <w:sz w:val="28"/>
            <w:szCs w:val="28"/>
            <w:lang w:val="uk-UA"/>
          </w:rPr>
          <w:t>https://doi.org/10.21272/fmir.5(1).50-60.2021</w:t>
        </w:r>
      </w:hyperlink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27.08.2021).</w:t>
      </w:r>
    </w:p>
    <w:p w14:paraId="62914055" w14:textId="23A078CB" w:rsidR="00DC6C9D" w:rsidRPr="00CC1F35" w:rsidRDefault="00DC6C9D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OECD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statistics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. URL:https://www.oecd.org/sdd/OECD-Work-on-Statistics-brochure2013.pdf 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ccessed</w:t>
      </w:r>
      <w:proofErr w:type="spellEnd"/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25.08.2021)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4BA612" w14:textId="559D61C1" w:rsidR="001B7AD7" w:rsidRPr="00CC1F35" w:rsidRDefault="00DC6C9D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Frontier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AnalystData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Envelopment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software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URL: https://banxia.com/frontier/ 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>ccessed</w:t>
      </w:r>
      <w:proofErr w:type="spellEnd"/>
      <w:r w:rsidR="006D0256"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25.08.2021)</w:t>
      </w:r>
      <w:r w:rsidR="00DE7FEE" w:rsidRPr="00CC1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D4EDC1" w14:textId="23DDD05B" w:rsidR="00546B0A" w:rsidRPr="00CC1F35" w:rsidRDefault="00546B0A" w:rsidP="00546B0A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</w:pPr>
      <w:bookmarkStart w:id="2" w:name="_Ref77493293"/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Zakon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Ukrainy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Pro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derzhavni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finansovi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harantii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medychnoho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obsluhovuvannia</w:t>
      </w:r>
      <w:proofErr w:type="spellEnd"/>
      <w:r w:rsidRPr="00CC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z w:val="28"/>
          <w:szCs w:val="28"/>
          <w:lang w:val="uk-UA"/>
        </w:rPr>
        <w:t>naselennia».</w:t>
      </w:r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URL</w:t>
      </w:r>
      <w:proofErr w:type="spellEnd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: https://zakon.rada.gov.ua/laws/show/2168-19#Text (</w:t>
      </w:r>
      <w:proofErr w:type="spellStart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аccessed</w:t>
      </w:r>
      <w:proofErr w:type="spellEnd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 11.08.2021)</w:t>
      </w:r>
      <w:bookmarkEnd w:id="2"/>
    </w:p>
    <w:p w14:paraId="77BF1BA8" w14:textId="73392167" w:rsidR="001B4913" w:rsidRPr="00CC1F35" w:rsidRDefault="001B4913" w:rsidP="006D02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Health</w:t>
      </w:r>
      <w:proofErr w:type="spellEnd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Index</w:t>
      </w:r>
      <w:proofErr w:type="spellEnd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CC1F35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. URL: http://health-index.com.ua/reports </w:t>
      </w:r>
      <w:r w:rsidRPr="00CC1F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C1F35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CC1F35">
        <w:rPr>
          <w:rFonts w:ascii="Times New Roman" w:hAnsi="Times New Roman" w:cs="Times New Roman"/>
          <w:sz w:val="28"/>
          <w:szCs w:val="28"/>
          <w:lang w:val="uk-UA"/>
        </w:rPr>
        <w:t xml:space="preserve"> 13.08.2021).</w:t>
      </w:r>
    </w:p>
    <w:sectPr w:rsidR="001B4913" w:rsidRPr="00CC1F35" w:rsidSect="00DE21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E0"/>
    <w:multiLevelType w:val="hybridMultilevel"/>
    <w:tmpl w:val="CD78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F31"/>
    <w:multiLevelType w:val="hybridMultilevel"/>
    <w:tmpl w:val="65FE47E4"/>
    <w:lvl w:ilvl="0" w:tplc="D082AC16">
      <w:start w:val="1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BA1207"/>
    <w:multiLevelType w:val="hybridMultilevel"/>
    <w:tmpl w:val="7CEA9D16"/>
    <w:lvl w:ilvl="0" w:tplc="C80297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AB0"/>
    <w:multiLevelType w:val="hybridMultilevel"/>
    <w:tmpl w:val="D4E6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7DB0"/>
    <w:multiLevelType w:val="hybridMultilevel"/>
    <w:tmpl w:val="508A36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705C80"/>
    <w:multiLevelType w:val="hybridMultilevel"/>
    <w:tmpl w:val="BE36CA20"/>
    <w:lvl w:ilvl="0" w:tplc="67A828E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EB6C31"/>
    <w:multiLevelType w:val="hybridMultilevel"/>
    <w:tmpl w:val="BE36CA20"/>
    <w:lvl w:ilvl="0" w:tplc="67A828E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2A2B98"/>
    <w:multiLevelType w:val="hybridMultilevel"/>
    <w:tmpl w:val="338CD08A"/>
    <w:lvl w:ilvl="0" w:tplc="C0261EBA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6"/>
    <w:rsid w:val="00003B2B"/>
    <w:rsid w:val="000441E8"/>
    <w:rsid w:val="00064C5C"/>
    <w:rsid w:val="000820C0"/>
    <w:rsid w:val="00085C7B"/>
    <w:rsid w:val="0009101D"/>
    <w:rsid w:val="000B2F11"/>
    <w:rsid w:val="000D741A"/>
    <w:rsid w:val="000E2508"/>
    <w:rsid w:val="000E6766"/>
    <w:rsid w:val="000F04A3"/>
    <w:rsid w:val="001367AC"/>
    <w:rsid w:val="00150280"/>
    <w:rsid w:val="001B4913"/>
    <w:rsid w:val="001B7AD7"/>
    <w:rsid w:val="001C4237"/>
    <w:rsid w:val="001D58C8"/>
    <w:rsid w:val="001D6798"/>
    <w:rsid w:val="00203F2F"/>
    <w:rsid w:val="00216FDC"/>
    <w:rsid w:val="002353A0"/>
    <w:rsid w:val="002508C7"/>
    <w:rsid w:val="0027177C"/>
    <w:rsid w:val="00272FB7"/>
    <w:rsid w:val="002802D5"/>
    <w:rsid w:val="002A5896"/>
    <w:rsid w:val="00312E17"/>
    <w:rsid w:val="0034161E"/>
    <w:rsid w:val="00381274"/>
    <w:rsid w:val="003843E7"/>
    <w:rsid w:val="00386E45"/>
    <w:rsid w:val="00396C03"/>
    <w:rsid w:val="003A5BB0"/>
    <w:rsid w:val="003E1C64"/>
    <w:rsid w:val="003F255A"/>
    <w:rsid w:val="00423C58"/>
    <w:rsid w:val="00424B1B"/>
    <w:rsid w:val="0044100D"/>
    <w:rsid w:val="00450AF5"/>
    <w:rsid w:val="00453A98"/>
    <w:rsid w:val="00476C7B"/>
    <w:rsid w:val="004B5994"/>
    <w:rsid w:val="004B62F7"/>
    <w:rsid w:val="004C028D"/>
    <w:rsid w:val="004C0848"/>
    <w:rsid w:val="004C1D1C"/>
    <w:rsid w:val="004C25A7"/>
    <w:rsid w:val="004C5E62"/>
    <w:rsid w:val="004E2021"/>
    <w:rsid w:val="004F00D9"/>
    <w:rsid w:val="005054B7"/>
    <w:rsid w:val="00531941"/>
    <w:rsid w:val="00546B0A"/>
    <w:rsid w:val="005553FC"/>
    <w:rsid w:val="00562434"/>
    <w:rsid w:val="005630D0"/>
    <w:rsid w:val="00564D78"/>
    <w:rsid w:val="0057348C"/>
    <w:rsid w:val="00583EB4"/>
    <w:rsid w:val="00592AA2"/>
    <w:rsid w:val="005B6E21"/>
    <w:rsid w:val="005F352E"/>
    <w:rsid w:val="00610E3E"/>
    <w:rsid w:val="00624F83"/>
    <w:rsid w:val="00630F4E"/>
    <w:rsid w:val="00634343"/>
    <w:rsid w:val="0065675F"/>
    <w:rsid w:val="006624F5"/>
    <w:rsid w:val="00663DAB"/>
    <w:rsid w:val="00664190"/>
    <w:rsid w:val="0067335B"/>
    <w:rsid w:val="00682228"/>
    <w:rsid w:val="006C4F2B"/>
    <w:rsid w:val="006D0256"/>
    <w:rsid w:val="006E4DD0"/>
    <w:rsid w:val="007044A9"/>
    <w:rsid w:val="007113C9"/>
    <w:rsid w:val="00733795"/>
    <w:rsid w:val="0073474E"/>
    <w:rsid w:val="00770768"/>
    <w:rsid w:val="007852D5"/>
    <w:rsid w:val="0078593A"/>
    <w:rsid w:val="007A72C3"/>
    <w:rsid w:val="007B0C82"/>
    <w:rsid w:val="007B5BDF"/>
    <w:rsid w:val="008339B1"/>
    <w:rsid w:val="008833E6"/>
    <w:rsid w:val="008B4088"/>
    <w:rsid w:val="008B4B31"/>
    <w:rsid w:val="008B79E2"/>
    <w:rsid w:val="00912401"/>
    <w:rsid w:val="009204E4"/>
    <w:rsid w:val="009314C7"/>
    <w:rsid w:val="00962A15"/>
    <w:rsid w:val="00972113"/>
    <w:rsid w:val="0097422B"/>
    <w:rsid w:val="00980760"/>
    <w:rsid w:val="009914F1"/>
    <w:rsid w:val="00992A52"/>
    <w:rsid w:val="009A0BDF"/>
    <w:rsid w:val="009A1280"/>
    <w:rsid w:val="009A4048"/>
    <w:rsid w:val="009B3A7F"/>
    <w:rsid w:val="009B3AAA"/>
    <w:rsid w:val="009B413A"/>
    <w:rsid w:val="009C3CFF"/>
    <w:rsid w:val="009F49DC"/>
    <w:rsid w:val="00A300C0"/>
    <w:rsid w:val="00A46C4E"/>
    <w:rsid w:val="00A502F6"/>
    <w:rsid w:val="00A65318"/>
    <w:rsid w:val="00A74F93"/>
    <w:rsid w:val="00A7678A"/>
    <w:rsid w:val="00AB73EC"/>
    <w:rsid w:val="00AD689B"/>
    <w:rsid w:val="00AE1A1E"/>
    <w:rsid w:val="00AE3352"/>
    <w:rsid w:val="00B046B7"/>
    <w:rsid w:val="00B12DCF"/>
    <w:rsid w:val="00B14AE5"/>
    <w:rsid w:val="00B14E7A"/>
    <w:rsid w:val="00B41534"/>
    <w:rsid w:val="00B57CEC"/>
    <w:rsid w:val="00B853C0"/>
    <w:rsid w:val="00BA16C7"/>
    <w:rsid w:val="00BA3A5E"/>
    <w:rsid w:val="00C0113B"/>
    <w:rsid w:val="00C203B6"/>
    <w:rsid w:val="00C26D51"/>
    <w:rsid w:val="00C277EC"/>
    <w:rsid w:val="00C331E5"/>
    <w:rsid w:val="00C77E52"/>
    <w:rsid w:val="00C9086E"/>
    <w:rsid w:val="00CA08DD"/>
    <w:rsid w:val="00CB7120"/>
    <w:rsid w:val="00CC1F35"/>
    <w:rsid w:val="00CD496D"/>
    <w:rsid w:val="00CD4C76"/>
    <w:rsid w:val="00CE073C"/>
    <w:rsid w:val="00D02490"/>
    <w:rsid w:val="00D1303A"/>
    <w:rsid w:val="00D3062E"/>
    <w:rsid w:val="00D37C5D"/>
    <w:rsid w:val="00D5131B"/>
    <w:rsid w:val="00D54685"/>
    <w:rsid w:val="00D6322B"/>
    <w:rsid w:val="00D64B50"/>
    <w:rsid w:val="00D75CCF"/>
    <w:rsid w:val="00D84963"/>
    <w:rsid w:val="00D92C52"/>
    <w:rsid w:val="00D9350E"/>
    <w:rsid w:val="00DC6C9D"/>
    <w:rsid w:val="00DE2122"/>
    <w:rsid w:val="00DE7FEE"/>
    <w:rsid w:val="00E128E5"/>
    <w:rsid w:val="00E21719"/>
    <w:rsid w:val="00E83DD3"/>
    <w:rsid w:val="00E90875"/>
    <w:rsid w:val="00E91129"/>
    <w:rsid w:val="00EA0D79"/>
    <w:rsid w:val="00EA2BC3"/>
    <w:rsid w:val="00EA7F08"/>
    <w:rsid w:val="00EB0413"/>
    <w:rsid w:val="00EE4AD3"/>
    <w:rsid w:val="00EF034A"/>
    <w:rsid w:val="00EF6DC4"/>
    <w:rsid w:val="00F12989"/>
    <w:rsid w:val="00F53439"/>
    <w:rsid w:val="00F56577"/>
    <w:rsid w:val="00F62128"/>
    <w:rsid w:val="00F711A7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5"/>
  </w:style>
  <w:style w:type="paragraph" w:styleId="1">
    <w:name w:val="heading 1"/>
    <w:basedOn w:val="a"/>
    <w:next w:val="a"/>
    <w:link w:val="10"/>
    <w:uiPriority w:val="9"/>
    <w:qFormat/>
    <w:rsid w:val="004B599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qFormat/>
    <w:rsid w:val="004B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9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итул Жирный"/>
    <w:basedOn w:val="a"/>
    <w:rsid w:val="004B599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customStyle="1" w:styleId="FR1">
    <w:name w:val="FR1"/>
    <w:rsid w:val="004B5994"/>
    <w:pPr>
      <w:widowControl w:val="0"/>
      <w:autoSpaceDE w:val="0"/>
      <w:autoSpaceDN w:val="0"/>
      <w:adjustRightInd w:val="0"/>
      <w:spacing w:before="142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a4">
    <w:name w:val="Block Text"/>
    <w:basedOn w:val="a"/>
    <w:rsid w:val="004B5994"/>
    <w:pPr>
      <w:widowControl w:val="0"/>
      <w:autoSpaceDE w:val="0"/>
      <w:autoSpaceDN w:val="0"/>
      <w:adjustRightInd w:val="0"/>
      <w:spacing w:after="0" w:line="260" w:lineRule="auto"/>
      <w:ind w:left="142" w:right="-92"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B5994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B5994"/>
    <w:pPr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599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B5994"/>
    <w:pPr>
      <w:spacing w:after="100"/>
    </w:pPr>
  </w:style>
  <w:style w:type="character" w:styleId="a6">
    <w:name w:val="Hyperlink"/>
    <w:basedOn w:val="a0"/>
    <w:uiPriority w:val="99"/>
    <w:unhideWhenUsed/>
    <w:rsid w:val="004B599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B599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41534"/>
    <w:pPr>
      <w:ind w:left="720"/>
      <w:contextualSpacing/>
    </w:pPr>
  </w:style>
  <w:style w:type="table" w:styleId="a8">
    <w:name w:val="Table Grid"/>
    <w:basedOn w:val="a1"/>
    <w:uiPriority w:val="39"/>
    <w:rsid w:val="00B4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7348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25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F04A3"/>
    <w:rPr>
      <w:i/>
      <w:iCs/>
    </w:rPr>
  </w:style>
  <w:style w:type="character" w:styleId="ad">
    <w:name w:val="Placeholder Text"/>
    <w:basedOn w:val="a0"/>
    <w:uiPriority w:val="99"/>
    <w:semiHidden/>
    <w:rsid w:val="00B046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5"/>
  </w:style>
  <w:style w:type="paragraph" w:styleId="1">
    <w:name w:val="heading 1"/>
    <w:basedOn w:val="a"/>
    <w:next w:val="a"/>
    <w:link w:val="10"/>
    <w:uiPriority w:val="9"/>
    <w:qFormat/>
    <w:rsid w:val="004B599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qFormat/>
    <w:rsid w:val="004B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9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итул Жирный"/>
    <w:basedOn w:val="a"/>
    <w:rsid w:val="004B599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customStyle="1" w:styleId="FR1">
    <w:name w:val="FR1"/>
    <w:rsid w:val="004B5994"/>
    <w:pPr>
      <w:widowControl w:val="0"/>
      <w:autoSpaceDE w:val="0"/>
      <w:autoSpaceDN w:val="0"/>
      <w:adjustRightInd w:val="0"/>
      <w:spacing w:before="142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a4">
    <w:name w:val="Block Text"/>
    <w:basedOn w:val="a"/>
    <w:rsid w:val="004B5994"/>
    <w:pPr>
      <w:widowControl w:val="0"/>
      <w:autoSpaceDE w:val="0"/>
      <w:autoSpaceDN w:val="0"/>
      <w:adjustRightInd w:val="0"/>
      <w:spacing w:after="0" w:line="260" w:lineRule="auto"/>
      <w:ind w:left="142" w:right="-92"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B5994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B5994"/>
    <w:pPr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599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B5994"/>
    <w:pPr>
      <w:spacing w:after="100"/>
    </w:pPr>
  </w:style>
  <w:style w:type="character" w:styleId="a6">
    <w:name w:val="Hyperlink"/>
    <w:basedOn w:val="a0"/>
    <w:uiPriority w:val="99"/>
    <w:unhideWhenUsed/>
    <w:rsid w:val="004B599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B599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41534"/>
    <w:pPr>
      <w:ind w:left="720"/>
      <w:contextualSpacing/>
    </w:pPr>
  </w:style>
  <w:style w:type="table" w:styleId="a8">
    <w:name w:val="Table Grid"/>
    <w:basedOn w:val="a1"/>
    <w:uiPriority w:val="39"/>
    <w:rsid w:val="00B4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7348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25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F04A3"/>
    <w:rPr>
      <w:i/>
      <w:iCs/>
    </w:rPr>
  </w:style>
  <w:style w:type="character" w:styleId="ad">
    <w:name w:val="Placeholder Text"/>
    <w:basedOn w:val="a0"/>
    <w:uiPriority w:val="99"/>
    <w:semiHidden/>
    <w:rsid w:val="00B04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21272/fmir.5(1).50-60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ciencedirect.com/science/article/pii/S0021967300009663" TargetMode="External"/><Relationship Id="rId17" Type="http://schemas.openxmlformats.org/officeDocument/2006/relationships/hyperlink" Target="https://doi.org/10.21272/fmir.5(1).50-6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alth-index.com.ua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UJRN/Vnbu_2013_6_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nxia.com/frontier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oecd.org/sdd/OECD-Work-on-Statistics-brochure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1764-961E-459B-A427-891ACAF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3168</Words>
  <Characters>18061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 Сергей</dc:creator>
  <cp:lastModifiedBy>1</cp:lastModifiedBy>
  <cp:revision>3</cp:revision>
  <dcterms:created xsi:type="dcterms:W3CDTF">2021-10-31T03:10:00Z</dcterms:created>
  <dcterms:modified xsi:type="dcterms:W3CDTF">2021-10-31T03:11:00Z</dcterms:modified>
</cp:coreProperties>
</file>